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E179" w14:textId="30B06D7D" w:rsidR="00153C23" w:rsidRPr="00892849" w:rsidRDefault="00087B7F" w:rsidP="00892849">
      <w:pPr>
        <w:spacing w:line="480" w:lineRule="auto"/>
        <w:rPr>
          <w:rFonts w:ascii="Times New Roman" w:hAnsi="Times New Roman" w:cs="Times New Roman"/>
        </w:rPr>
      </w:pPr>
      <w:r w:rsidRPr="00892849">
        <w:rPr>
          <w:rFonts w:ascii="Times New Roman" w:hAnsi="Times New Roman" w:cs="Times New Roman"/>
        </w:rPr>
        <w:t>Ally Jo Salomon</w:t>
      </w:r>
    </w:p>
    <w:p w14:paraId="7B651E40" w14:textId="3EDCA548" w:rsidR="00892849" w:rsidRDefault="00892849" w:rsidP="00892849">
      <w:pPr>
        <w:spacing w:line="480" w:lineRule="auto"/>
        <w:jc w:val="center"/>
        <w:rPr>
          <w:rFonts w:ascii="Times New Roman" w:hAnsi="Times New Roman" w:cs="Times New Roman"/>
        </w:rPr>
      </w:pPr>
      <w:r w:rsidRPr="00892849">
        <w:rPr>
          <w:rFonts w:ascii="Times New Roman" w:hAnsi="Times New Roman" w:cs="Times New Roman"/>
        </w:rPr>
        <w:t>How Measure Biodiversity and Prioritize Conservation Areas</w:t>
      </w:r>
    </w:p>
    <w:p w14:paraId="31BD9200" w14:textId="454A1C46" w:rsidR="00892849" w:rsidRDefault="00892849" w:rsidP="00892849">
      <w:pPr>
        <w:spacing w:line="480" w:lineRule="auto"/>
        <w:rPr>
          <w:rFonts w:ascii="Times New Roman" w:hAnsi="Times New Roman" w:cs="Times New Roman"/>
          <w:b/>
        </w:rPr>
      </w:pPr>
      <w:r w:rsidRPr="00892849">
        <w:rPr>
          <w:rFonts w:ascii="Times New Roman" w:hAnsi="Times New Roman" w:cs="Times New Roman"/>
          <w:b/>
        </w:rPr>
        <w:t>Introduction</w:t>
      </w:r>
    </w:p>
    <w:p w14:paraId="472B7901" w14:textId="3F094DF2" w:rsidR="001E56F2" w:rsidRPr="001E56F2" w:rsidRDefault="001E56F2" w:rsidP="0089284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Sri Lanka is home to many unique bird species and five southern national parks want to put in place a long-term conservation to protect the Sri Lankan birds. The five southern national parks in Si Lanka are site 1 with Yala National Park, park 2 is Uda Walawa national park, site 3 is Bundala national park, site 4 is Horton Plains national park, and site 5 is Gal Oya national park</w:t>
      </w:r>
      <w:r w:rsidR="00CE6729">
        <w:rPr>
          <w:rFonts w:ascii="Times New Roman" w:hAnsi="Times New Roman" w:cs="Times New Roman"/>
          <w:bCs/>
        </w:rPr>
        <w:t xml:space="preserve"> </w:t>
      </w:r>
      <w:r w:rsidR="00CE6729">
        <w:rPr>
          <w:rFonts w:ascii="Times New Roman" w:hAnsi="Times New Roman" w:cs="Times New Roman"/>
          <w:bCs/>
        </w:rPr>
        <w:t>(Lab 7 handout)</w:t>
      </w:r>
      <w:r>
        <w:rPr>
          <w:rFonts w:ascii="Times New Roman" w:hAnsi="Times New Roman" w:cs="Times New Roman"/>
          <w:bCs/>
        </w:rPr>
        <w:t xml:space="preserve">. </w:t>
      </w:r>
      <w:r w:rsidR="00DB4A90">
        <w:rPr>
          <w:rFonts w:ascii="Times New Roman" w:hAnsi="Times New Roman" w:cs="Times New Roman"/>
          <w:bCs/>
        </w:rPr>
        <w:t>Local experts in Sri Lanka want site 1 chosen for the long-term conservation project because it’s the largest of all southern national parks. On the other han</w:t>
      </w:r>
      <w:r w:rsidR="00CE6729">
        <w:rPr>
          <w:rFonts w:ascii="Times New Roman" w:hAnsi="Times New Roman" w:cs="Times New Roman"/>
          <w:bCs/>
        </w:rPr>
        <w:t>d,</w:t>
      </w:r>
      <w:r w:rsidR="00DB4A90">
        <w:rPr>
          <w:rFonts w:ascii="Times New Roman" w:hAnsi="Times New Roman" w:cs="Times New Roman"/>
          <w:bCs/>
        </w:rPr>
        <w:t xml:space="preserve"> a group of </w:t>
      </w:r>
      <w:r w:rsidR="0072400E">
        <w:rPr>
          <w:rFonts w:ascii="Times New Roman" w:hAnsi="Times New Roman" w:cs="Times New Roman"/>
          <w:bCs/>
        </w:rPr>
        <w:t>biologists</w:t>
      </w:r>
      <w:r w:rsidR="00DB4A90">
        <w:rPr>
          <w:rFonts w:ascii="Times New Roman" w:hAnsi="Times New Roman" w:cs="Times New Roman"/>
          <w:bCs/>
        </w:rPr>
        <w:t xml:space="preserve"> suggest choosing site 5 because it is the most isolated and biodiverse southern national par</w:t>
      </w:r>
      <w:r w:rsidR="00CE6729">
        <w:rPr>
          <w:rFonts w:ascii="Times New Roman" w:hAnsi="Times New Roman" w:cs="Times New Roman"/>
          <w:bCs/>
        </w:rPr>
        <w:t>k.</w:t>
      </w:r>
      <w:r w:rsidR="00DB4A90">
        <w:rPr>
          <w:rFonts w:ascii="Times New Roman" w:hAnsi="Times New Roman" w:cs="Times New Roman"/>
          <w:bCs/>
        </w:rPr>
        <w:t xml:space="preserve"> </w:t>
      </w:r>
      <w:r w:rsidR="0072400E">
        <w:rPr>
          <w:rFonts w:ascii="Times New Roman" w:hAnsi="Times New Roman" w:cs="Times New Roman"/>
          <w:bCs/>
        </w:rPr>
        <w:t>With these recommendations, some local conservation groups suggest conserving all of the southern national parks</w:t>
      </w:r>
      <w:r w:rsidR="00CE6729">
        <w:rPr>
          <w:rFonts w:ascii="Times New Roman" w:hAnsi="Times New Roman" w:cs="Times New Roman"/>
          <w:bCs/>
        </w:rPr>
        <w:t xml:space="preserve"> </w:t>
      </w:r>
      <w:r w:rsidR="00CE6729">
        <w:rPr>
          <w:rFonts w:ascii="Times New Roman" w:hAnsi="Times New Roman" w:cs="Times New Roman"/>
          <w:bCs/>
        </w:rPr>
        <w:t>(Lab 7 handout)</w:t>
      </w:r>
      <w:r w:rsidR="0072400E">
        <w:rPr>
          <w:rFonts w:ascii="Times New Roman" w:hAnsi="Times New Roman" w:cs="Times New Roman"/>
          <w:bCs/>
        </w:rPr>
        <w:t>. When choosing a site for the long-term conservation project, the decision is based on limited funding, species endemism, and overall biological diversity. To choose the right site for the long-term conservation project, the focus will be on 21 indicator species of birds in Sri Lanka to base overall biodiversity of each site</w:t>
      </w:r>
      <w:r w:rsidR="00CE6729">
        <w:rPr>
          <w:rFonts w:ascii="Times New Roman" w:hAnsi="Times New Roman" w:cs="Times New Roman"/>
          <w:bCs/>
        </w:rPr>
        <w:t xml:space="preserve"> </w:t>
      </w:r>
      <w:r w:rsidR="00CE6729">
        <w:rPr>
          <w:rFonts w:ascii="Times New Roman" w:hAnsi="Times New Roman" w:cs="Times New Roman"/>
          <w:bCs/>
        </w:rPr>
        <w:t>(Lab 7 handout)</w:t>
      </w:r>
      <w:r w:rsidR="0072400E">
        <w:rPr>
          <w:rFonts w:ascii="Times New Roman" w:hAnsi="Times New Roman" w:cs="Times New Roman"/>
          <w:bCs/>
        </w:rPr>
        <w:t xml:space="preserve">. The objective of this project is to </w:t>
      </w:r>
      <w:r w:rsidR="00CE6729">
        <w:rPr>
          <w:rFonts w:ascii="Times New Roman" w:hAnsi="Times New Roman" w:cs="Times New Roman"/>
          <w:bCs/>
        </w:rPr>
        <w:t xml:space="preserve">use the scientific method and disciplinary knowledge to prioritize conservation areas in Sri Lanka </w:t>
      </w:r>
      <w:bookmarkStart w:id="0" w:name="OLE_LINK1"/>
      <w:r w:rsidR="00CE6729">
        <w:rPr>
          <w:rFonts w:ascii="Times New Roman" w:hAnsi="Times New Roman" w:cs="Times New Roman"/>
          <w:bCs/>
        </w:rPr>
        <w:t>(Lab 7 handout)</w:t>
      </w:r>
      <w:bookmarkEnd w:id="0"/>
      <w:r w:rsidR="00CE6729">
        <w:rPr>
          <w:rFonts w:ascii="Times New Roman" w:hAnsi="Times New Roman" w:cs="Times New Roman"/>
          <w:bCs/>
        </w:rPr>
        <w:t>.</w:t>
      </w:r>
    </w:p>
    <w:p w14:paraId="0DF179DC" w14:textId="77777777" w:rsidR="004E076A" w:rsidRPr="00892849" w:rsidRDefault="004E076A" w:rsidP="00892849">
      <w:pPr>
        <w:spacing w:line="480" w:lineRule="auto"/>
        <w:rPr>
          <w:rFonts w:ascii="Times New Roman" w:hAnsi="Times New Roman" w:cs="Times New Roman"/>
          <w:b/>
        </w:rPr>
      </w:pPr>
    </w:p>
    <w:p w14:paraId="12E7D418" w14:textId="43F66439" w:rsidR="00892849" w:rsidRDefault="00892849" w:rsidP="004E076A">
      <w:pPr>
        <w:tabs>
          <w:tab w:val="left" w:pos="1778"/>
        </w:tabs>
        <w:spacing w:line="480" w:lineRule="auto"/>
        <w:rPr>
          <w:rFonts w:ascii="Times New Roman" w:hAnsi="Times New Roman" w:cs="Times New Roman"/>
          <w:b/>
        </w:rPr>
      </w:pPr>
      <w:r w:rsidRPr="00892849">
        <w:rPr>
          <w:rFonts w:ascii="Times New Roman" w:hAnsi="Times New Roman" w:cs="Times New Roman"/>
          <w:b/>
        </w:rPr>
        <w:t>Methods</w:t>
      </w:r>
      <w:r w:rsidR="004E076A">
        <w:rPr>
          <w:rFonts w:ascii="Times New Roman" w:hAnsi="Times New Roman" w:cs="Times New Roman"/>
          <w:b/>
        </w:rPr>
        <w:tab/>
      </w:r>
    </w:p>
    <w:p w14:paraId="5E6FC3EF" w14:textId="18D1F085" w:rsidR="004E076A" w:rsidRPr="00FC121B" w:rsidRDefault="004E076A" w:rsidP="00FC121B">
      <w:pPr>
        <w:pStyle w:val="NormalWeb"/>
        <w:spacing w:line="480" w:lineRule="auto"/>
        <w:rPr>
          <w:rFonts w:ascii="ArialMT" w:hAnsi="ArialMT"/>
          <w:position w:val="18"/>
          <w:sz w:val="18"/>
          <w:szCs w:val="18"/>
        </w:rPr>
      </w:pPr>
      <w:r>
        <w:rPr>
          <w:bCs/>
        </w:rPr>
        <w:tab/>
        <w:t xml:space="preserve">5 southern national parks in Sri Lanka were </w:t>
      </w:r>
      <w:r w:rsidR="00FC121B">
        <w:rPr>
          <w:bCs/>
        </w:rPr>
        <w:t xml:space="preserve">chosen and the number of total species and endemic species were observed at each site and recorded into a table. After recording the total number of species and endemic specie at each of the 5 sites, the Simpson’s D and Shannon-wiener H’ were calculated in excel using given formulas. The total number of species, number of </w:t>
      </w:r>
      <w:r w:rsidR="00FC121B">
        <w:rPr>
          <w:bCs/>
        </w:rPr>
        <w:lastRenderedPageBreak/>
        <w:t>endemic species, Simpson’s D, and Shannon-wiener H’ were ranked from high to low for each site with 5 being the highest and 1 being the lowest. Lastly the community similarity between sites was calculated using the given formula for community similarity.</w:t>
      </w:r>
      <w:r w:rsidR="00490421">
        <w:rPr>
          <w:bCs/>
        </w:rPr>
        <w:t xml:space="preserve"> Bar graphs were then made for total number of species, number of endemic species, Simpson’s D, and Shannon-wiener H’ for all sites. </w:t>
      </w:r>
    </w:p>
    <w:p w14:paraId="0FED9D1C" w14:textId="63000D29" w:rsidR="00892849" w:rsidRDefault="00892849" w:rsidP="00892849">
      <w:pPr>
        <w:spacing w:line="480" w:lineRule="auto"/>
        <w:rPr>
          <w:rFonts w:ascii="Times New Roman" w:hAnsi="Times New Roman" w:cs="Times New Roman"/>
          <w:b/>
        </w:rPr>
      </w:pPr>
      <w:r w:rsidRPr="00892849">
        <w:rPr>
          <w:rFonts w:ascii="Times New Roman" w:hAnsi="Times New Roman" w:cs="Times New Roman"/>
          <w:b/>
        </w:rPr>
        <w:t>Results</w:t>
      </w:r>
    </w:p>
    <w:p w14:paraId="1405CC58" w14:textId="7750E152" w:rsidR="00CE6729" w:rsidRPr="0077217D" w:rsidRDefault="0077217D" w:rsidP="0089284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Out all 5 southern national parks in Sri Lanka, site 1 is best recommended for the long-term conservation project. This is because it has the highest amount total species and</w:t>
      </w:r>
      <w:r w:rsidR="00564401">
        <w:rPr>
          <w:rFonts w:ascii="Times New Roman" w:hAnsi="Times New Roman" w:cs="Times New Roman"/>
          <w:bCs/>
        </w:rPr>
        <w:t xml:space="preserve"> good amount of</w:t>
      </w:r>
      <w:r>
        <w:rPr>
          <w:rFonts w:ascii="Times New Roman" w:hAnsi="Times New Roman" w:cs="Times New Roman"/>
          <w:bCs/>
        </w:rPr>
        <w:t xml:space="preserve"> endemic species (Figure 1 and 2). This site also has the highest overall biological diversity compared to the other 5 sites (Figure 4).</w:t>
      </w:r>
      <w:r w:rsidR="00564401">
        <w:rPr>
          <w:rFonts w:ascii="Times New Roman" w:hAnsi="Times New Roman" w:cs="Times New Roman"/>
          <w:bCs/>
        </w:rPr>
        <w:t xml:space="preserve">  Biological diversity is a very important concept when choosing a site to conserve because it adds variation to the community. Site 1 also has the lowest amount of dominance in the community, this means site 1 is very diverse and in need of conservation (Figure 3). According to table 1, site 1 has some community similarity with site 2 and 3, but no similarity with </w:t>
      </w:r>
      <w:r w:rsidR="00340FA1">
        <w:rPr>
          <w:rFonts w:ascii="Times New Roman" w:hAnsi="Times New Roman" w:cs="Times New Roman"/>
          <w:bCs/>
        </w:rPr>
        <w:t xml:space="preserve">4 and 5 (Table 1). Overall, site 1 has the highest biological diversity and is home to a good amount of endemic species, this makes this site the best suited for the long-term conservation project in Sri Lanka. </w:t>
      </w:r>
    </w:p>
    <w:p w14:paraId="4145C6D2" w14:textId="77777777" w:rsidR="00530503" w:rsidRPr="00892849" w:rsidRDefault="00530503" w:rsidP="00892849">
      <w:pPr>
        <w:spacing w:line="480" w:lineRule="auto"/>
        <w:rPr>
          <w:rFonts w:ascii="Times New Roman" w:hAnsi="Times New Roman" w:cs="Times New Roman"/>
          <w:b/>
        </w:rPr>
      </w:pPr>
    </w:p>
    <w:p w14:paraId="10AC6883" w14:textId="0B52700A" w:rsidR="00892849" w:rsidRDefault="00892849" w:rsidP="00892849">
      <w:pPr>
        <w:spacing w:line="480" w:lineRule="auto"/>
        <w:rPr>
          <w:rFonts w:ascii="Times New Roman" w:hAnsi="Times New Roman" w:cs="Times New Roman"/>
          <w:b/>
        </w:rPr>
      </w:pPr>
      <w:r w:rsidRPr="00892849">
        <w:rPr>
          <w:rFonts w:ascii="Times New Roman" w:hAnsi="Times New Roman" w:cs="Times New Roman"/>
          <w:b/>
        </w:rPr>
        <w:t>Discussion</w:t>
      </w:r>
    </w:p>
    <w:p w14:paraId="74A0F95D" w14:textId="4615D5EA" w:rsidR="00D901B7" w:rsidRDefault="00D901B7" w:rsidP="0089284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D901B7">
        <w:rPr>
          <w:rFonts w:ascii="Times New Roman" w:hAnsi="Times New Roman" w:cs="Times New Roman"/>
          <w:bCs/>
        </w:rPr>
        <w:t xml:space="preserve">Out </w:t>
      </w:r>
      <w:r>
        <w:rPr>
          <w:rFonts w:ascii="Times New Roman" w:hAnsi="Times New Roman" w:cs="Times New Roman"/>
          <w:bCs/>
        </w:rPr>
        <w:t xml:space="preserve">of the 5 southern national parks in Sri Lanka, site 1 is best suited for the long-term conservation project. Site 1 is best suited for the long-term conservation project in Sri Lanka, because it has the highest biological diversity compared to the other 5 sites. This park is also home to some endemic species and has the most amount of species. </w:t>
      </w:r>
      <w:r w:rsidR="00880CBE">
        <w:rPr>
          <w:rFonts w:ascii="Times New Roman" w:hAnsi="Times New Roman" w:cs="Times New Roman"/>
          <w:bCs/>
        </w:rPr>
        <w:t xml:space="preserve">Another important factor is that the species dominance at this site is very low compared to the other 5 sites. Site 3 has a very </w:t>
      </w:r>
      <w:r w:rsidR="00880CBE">
        <w:rPr>
          <w:rFonts w:ascii="Times New Roman" w:hAnsi="Times New Roman" w:cs="Times New Roman"/>
          <w:bCs/>
        </w:rPr>
        <w:lastRenderedPageBreak/>
        <w:t xml:space="preserve">high species dominance and low biological diversity, which makes it an immediate no for the long-term conservation project in Sri Lanka. A limitation of this study would be basing the data purely off of observations. This makes it hard to know the true numbers in each park. I recommend that site 1 is conserved and by putting more research into the area and </w:t>
      </w:r>
      <w:r w:rsidR="00E77256">
        <w:rPr>
          <w:rFonts w:ascii="Times New Roman" w:hAnsi="Times New Roman" w:cs="Times New Roman"/>
          <w:bCs/>
        </w:rPr>
        <w:t>coming up with a management plan to protect the biological diversity of this park. There should be protection of the habitat and the bird’s resources should be protected. I also believe public outreach would be valuable in the conserving the unique bird species in this park. In the future I recommend expanding the protected area and having education programs put in place to educate the people of Sri Lanka on their unique bird species. Overall, site 1 is best suited for the long-term management project in Sri Lanka.</w:t>
      </w:r>
    </w:p>
    <w:p w14:paraId="4EBC47F3" w14:textId="77777777" w:rsidR="00E77256" w:rsidRDefault="00E77256" w:rsidP="00892849">
      <w:pPr>
        <w:spacing w:line="480" w:lineRule="auto"/>
        <w:rPr>
          <w:rFonts w:ascii="Times New Roman" w:hAnsi="Times New Roman" w:cs="Times New Roman"/>
          <w:bCs/>
        </w:rPr>
      </w:pPr>
    </w:p>
    <w:p w14:paraId="69894B87" w14:textId="7B3F4A64" w:rsidR="00E77256" w:rsidRPr="00E77256" w:rsidRDefault="00E77256" w:rsidP="00892849">
      <w:pPr>
        <w:spacing w:line="480" w:lineRule="auto"/>
        <w:rPr>
          <w:rFonts w:ascii="Times New Roman" w:hAnsi="Times New Roman" w:cs="Times New Roman"/>
          <w:b/>
        </w:rPr>
      </w:pPr>
      <w:r w:rsidRPr="00E77256">
        <w:rPr>
          <w:rFonts w:ascii="Times New Roman" w:hAnsi="Times New Roman" w:cs="Times New Roman"/>
          <w:b/>
        </w:rPr>
        <w:t>Figures and Tables</w:t>
      </w:r>
    </w:p>
    <w:p w14:paraId="15AC0350" w14:textId="570925BC" w:rsidR="00892849" w:rsidRDefault="00C15A32" w:rsidP="0089284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FB32D74" wp14:editId="47E3B3ED">
            <wp:extent cx="45720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BDB6238-4AAB-4B4B-AFF0-D09D1E5007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F9848D" w14:textId="4B309B1A" w:rsidR="00C15A32" w:rsidRDefault="00C15A32" w:rsidP="00892849">
      <w:pPr>
        <w:spacing w:line="480" w:lineRule="auto"/>
        <w:rPr>
          <w:rFonts w:ascii="Times New Roman" w:hAnsi="Times New Roman" w:cs="Times New Roman"/>
        </w:rPr>
      </w:pPr>
      <w:r w:rsidRPr="00C15A32">
        <w:rPr>
          <w:rFonts w:ascii="Times New Roman" w:hAnsi="Times New Roman" w:cs="Times New Roman"/>
          <w:b/>
          <w:bCs/>
        </w:rPr>
        <w:t>Figure 1.</w:t>
      </w:r>
      <w:r>
        <w:rPr>
          <w:rFonts w:ascii="Times New Roman" w:hAnsi="Times New Roman" w:cs="Times New Roman"/>
        </w:rPr>
        <w:t xml:space="preserve"> Number of total species for all 5 sites.</w:t>
      </w:r>
    </w:p>
    <w:p w14:paraId="42264E46" w14:textId="5B35F94F" w:rsidR="00C15A32" w:rsidRDefault="00C15A32" w:rsidP="0089284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34940EA" wp14:editId="6C4C2D3E">
            <wp:extent cx="4572000" cy="2743200"/>
            <wp:effectExtent l="0" t="0" r="1270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23408A8-D5BD-CA45-8C31-C193C714C9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AA3B1F" w14:textId="37587F9D" w:rsidR="00C15A32" w:rsidRDefault="00C15A32" w:rsidP="00892849">
      <w:pPr>
        <w:spacing w:line="480" w:lineRule="auto"/>
        <w:rPr>
          <w:rFonts w:ascii="Times New Roman" w:hAnsi="Times New Roman" w:cs="Times New Roman"/>
        </w:rPr>
      </w:pPr>
      <w:r w:rsidRPr="00C15A32">
        <w:rPr>
          <w:rFonts w:ascii="Times New Roman" w:hAnsi="Times New Roman" w:cs="Times New Roman"/>
          <w:b/>
          <w:bCs/>
        </w:rPr>
        <w:t>Figure 2.</w:t>
      </w:r>
      <w:r>
        <w:rPr>
          <w:rFonts w:ascii="Times New Roman" w:hAnsi="Times New Roman" w:cs="Times New Roman"/>
        </w:rPr>
        <w:t xml:space="preserve"> Number of endemic species at all 5 sites. </w:t>
      </w:r>
    </w:p>
    <w:p w14:paraId="59248406" w14:textId="77777777" w:rsidR="00E77256" w:rsidRDefault="00E77256" w:rsidP="00892849">
      <w:pPr>
        <w:spacing w:line="480" w:lineRule="auto"/>
        <w:rPr>
          <w:rFonts w:ascii="Times New Roman" w:hAnsi="Times New Roman" w:cs="Times New Roman"/>
        </w:rPr>
      </w:pPr>
    </w:p>
    <w:p w14:paraId="7F789D29" w14:textId="68C1F7CE" w:rsidR="00C15A32" w:rsidRDefault="00C15A32" w:rsidP="0089284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47470B7" wp14:editId="0214E0BF">
            <wp:extent cx="4572000" cy="2743200"/>
            <wp:effectExtent l="0" t="0" r="1270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FE19FB8-42DF-D345-A26E-08BEAD55C7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4C93AB" w14:textId="3CF93FDA" w:rsidR="00C15A32" w:rsidRDefault="00C15A32" w:rsidP="00892849">
      <w:pPr>
        <w:spacing w:line="480" w:lineRule="auto"/>
        <w:rPr>
          <w:rFonts w:ascii="Times New Roman" w:hAnsi="Times New Roman" w:cs="Times New Roman"/>
        </w:rPr>
      </w:pPr>
      <w:r w:rsidRPr="00C15A32">
        <w:rPr>
          <w:rFonts w:ascii="Times New Roman" w:hAnsi="Times New Roman" w:cs="Times New Roman"/>
          <w:b/>
          <w:bCs/>
        </w:rPr>
        <w:t>Figure 3.</w:t>
      </w:r>
      <w:r>
        <w:rPr>
          <w:rFonts w:ascii="Times New Roman" w:hAnsi="Times New Roman" w:cs="Times New Roman"/>
        </w:rPr>
        <w:t xml:space="preserve"> Simpson’s index of dominance (D) for all 5 sites.</w:t>
      </w:r>
    </w:p>
    <w:p w14:paraId="21E1E5A2" w14:textId="226A7DE7" w:rsidR="00C15A32" w:rsidRDefault="00C15A32" w:rsidP="0089284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46E72B6" wp14:editId="5C338D1A">
            <wp:extent cx="4572000" cy="27432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E86F495-28D7-0F42-B507-AE1B3B0B20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6CD837" w14:textId="4263B8D8" w:rsidR="00C15A32" w:rsidRDefault="00C15A32" w:rsidP="00892849">
      <w:pPr>
        <w:spacing w:line="480" w:lineRule="auto"/>
        <w:rPr>
          <w:rFonts w:ascii="Times New Roman" w:hAnsi="Times New Roman" w:cs="Times New Roman"/>
        </w:rPr>
      </w:pPr>
      <w:r w:rsidRPr="00C15A32">
        <w:rPr>
          <w:rFonts w:ascii="Times New Roman" w:hAnsi="Times New Roman" w:cs="Times New Roman"/>
          <w:b/>
          <w:bCs/>
        </w:rPr>
        <w:t>Figure 4.</w:t>
      </w:r>
      <w:r>
        <w:rPr>
          <w:rFonts w:ascii="Times New Roman" w:hAnsi="Times New Roman" w:cs="Times New Roman"/>
        </w:rPr>
        <w:t xml:space="preserve"> Shannon- wiener index of species diversity for all 5 sites. </w:t>
      </w:r>
    </w:p>
    <w:p w14:paraId="06B70C1E" w14:textId="77777777" w:rsidR="00E77256" w:rsidRDefault="00E77256" w:rsidP="00892849">
      <w:pPr>
        <w:spacing w:line="480" w:lineRule="auto"/>
        <w:rPr>
          <w:rFonts w:ascii="Times New Roman" w:hAnsi="Times New Roman" w:cs="Times New Roman"/>
        </w:rPr>
      </w:pPr>
    </w:p>
    <w:tbl>
      <w:tblPr>
        <w:tblW w:w="6360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</w:tblGrid>
      <w:tr w:rsidR="00564401" w:rsidRPr="00564401" w14:paraId="49F6C5B3" w14:textId="77777777" w:rsidTr="005644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6AF" w14:textId="77777777" w:rsidR="00564401" w:rsidRPr="00564401" w:rsidRDefault="00564401" w:rsidP="00564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F47" w14:textId="77777777" w:rsidR="00564401" w:rsidRPr="00564401" w:rsidRDefault="00564401" w:rsidP="00564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4941" w14:textId="77777777" w:rsidR="00564401" w:rsidRPr="00564401" w:rsidRDefault="00564401" w:rsidP="00564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20DF" w14:textId="77777777" w:rsidR="00564401" w:rsidRPr="00564401" w:rsidRDefault="00564401" w:rsidP="00564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F82E" w14:textId="77777777" w:rsidR="00564401" w:rsidRPr="00564401" w:rsidRDefault="00564401" w:rsidP="00564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 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EF94" w14:textId="77777777" w:rsidR="00564401" w:rsidRPr="00564401" w:rsidRDefault="00564401" w:rsidP="00564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 5</w:t>
            </w:r>
          </w:p>
        </w:tc>
      </w:tr>
      <w:tr w:rsidR="00564401" w:rsidRPr="00564401" w14:paraId="6B107B93" w14:textId="77777777" w:rsidTr="005644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4211" w14:textId="77777777" w:rsidR="00564401" w:rsidRPr="00564401" w:rsidRDefault="00564401" w:rsidP="00564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815" w14:textId="77777777" w:rsidR="00564401" w:rsidRPr="00564401" w:rsidRDefault="00564401" w:rsidP="005644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300D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0.333333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C4B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0.333333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F9B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E649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64401" w:rsidRPr="00564401" w14:paraId="6CF4222E" w14:textId="77777777" w:rsidTr="005644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964F" w14:textId="77777777" w:rsidR="00564401" w:rsidRPr="00564401" w:rsidRDefault="00564401" w:rsidP="00564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41B9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0.333333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14C5" w14:textId="77777777" w:rsidR="00564401" w:rsidRPr="00564401" w:rsidRDefault="00564401" w:rsidP="005644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BD1C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9218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208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64401" w:rsidRPr="00564401" w14:paraId="23DAA6C9" w14:textId="77777777" w:rsidTr="005644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1E2B" w14:textId="77777777" w:rsidR="00564401" w:rsidRPr="00564401" w:rsidRDefault="00564401" w:rsidP="00564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4159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0.333333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232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137" w14:textId="77777777" w:rsidR="00564401" w:rsidRPr="00564401" w:rsidRDefault="00564401" w:rsidP="005644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37C9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D477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64401" w:rsidRPr="00564401" w14:paraId="1D18A47F" w14:textId="77777777" w:rsidTr="005644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06C" w14:textId="77777777" w:rsidR="00564401" w:rsidRPr="00564401" w:rsidRDefault="00564401" w:rsidP="00564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99F0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9B3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5E1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1804" w14:textId="77777777" w:rsidR="00564401" w:rsidRPr="00564401" w:rsidRDefault="00564401" w:rsidP="005644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0BAC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64401" w:rsidRPr="00564401" w14:paraId="05DC57C8" w14:textId="77777777" w:rsidTr="005644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5BE6" w14:textId="77777777" w:rsidR="00564401" w:rsidRPr="00564401" w:rsidRDefault="00564401" w:rsidP="00564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7680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CE36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D2EB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7164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216" w14:textId="77777777" w:rsidR="00564401" w:rsidRPr="00564401" w:rsidRDefault="00564401" w:rsidP="005644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564401" w:rsidRPr="00564401" w14:paraId="6398BED1" w14:textId="77777777" w:rsidTr="005644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5990" w14:textId="77777777" w:rsidR="00564401" w:rsidRPr="00564401" w:rsidRDefault="00564401" w:rsidP="00564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D537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1AC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126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0FBA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4E9D" w14:textId="77777777" w:rsidR="00564401" w:rsidRPr="00564401" w:rsidRDefault="00564401" w:rsidP="005644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44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6D01CFC5" w14:textId="75DD3356" w:rsidR="00C15A32" w:rsidRDefault="00C15A32" w:rsidP="00892849">
      <w:pPr>
        <w:spacing w:line="480" w:lineRule="auto"/>
        <w:rPr>
          <w:rFonts w:ascii="Times New Roman" w:hAnsi="Times New Roman" w:cs="Times New Roman"/>
        </w:rPr>
      </w:pPr>
    </w:p>
    <w:p w14:paraId="42075B29" w14:textId="1E42983D" w:rsidR="00564401" w:rsidRDefault="00564401" w:rsidP="00892849">
      <w:pPr>
        <w:spacing w:line="480" w:lineRule="auto"/>
        <w:rPr>
          <w:rFonts w:ascii="Times New Roman" w:hAnsi="Times New Roman" w:cs="Times New Roman"/>
        </w:rPr>
      </w:pPr>
      <w:r w:rsidRPr="00564401">
        <w:rPr>
          <w:rFonts w:ascii="Times New Roman" w:hAnsi="Times New Roman" w:cs="Times New Roman"/>
          <w:b/>
          <w:bCs/>
        </w:rPr>
        <w:t>Table 1.</w:t>
      </w:r>
      <w:r>
        <w:rPr>
          <w:rFonts w:ascii="Times New Roman" w:hAnsi="Times New Roman" w:cs="Times New Roman"/>
        </w:rPr>
        <w:t xml:space="preserve"> The community similarity between all 5 sites. </w:t>
      </w:r>
    </w:p>
    <w:p w14:paraId="78E34890" w14:textId="77777777" w:rsidR="00E77256" w:rsidRDefault="00E77256" w:rsidP="0089284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BD72C7B" w14:textId="491D0205" w:rsidR="00E77256" w:rsidRDefault="00E77256" w:rsidP="00892849">
      <w:pPr>
        <w:spacing w:line="480" w:lineRule="auto"/>
        <w:rPr>
          <w:rFonts w:ascii="Times New Roman" w:hAnsi="Times New Roman" w:cs="Times New Roman"/>
          <w:b/>
          <w:bCs/>
        </w:rPr>
      </w:pPr>
      <w:r w:rsidRPr="00E77256">
        <w:rPr>
          <w:rFonts w:ascii="Times New Roman" w:hAnsi="Times New Roman" w:cs="Times New Roman"/>
          <w:b/>
          <w:bCs/>
        </w:rPr>
        <w:t>References</w:t>
      </w:r>
    </w:p>
    <w:p w14:paraId="1CB858B9" w14:textId="77777777" w:rsidR="00E77256" w:rsidRPr="00E77256" w:rsidRDefault="00E77256" w:rsidP="00E77256">
      <w:pPr>
        <w:pStyle w:val="NormalWeb"/>
      </w:pPr>
      <w:r w:rsidRPr="00E77256">
        <w:t>Gibbs, J.P., M.J. Hunter, Jr. and E.J. Sterling. 2009. Problem-solving in Conservation Biology and Wildlife Management (2</w:t>
      </w:r>
      <w:proofErr w:type="spellStart"/>
      <w:r w:rsidRPr="00E77256">
        <w:rPr>
          <w:position w:val="8"/>
        </w:rPr>
        <w:t>nd</w:t>
      </w:r>
      <w:proofErr w:type="spellEnd"/>
      <w:r w:rsidRPr="00E77256">
        <w:rPr>
          <w:position w:val="8"/>
        </w:rPr>
        <w:t xml:space="preserve"> </w:t>
      </w:r>
      <w:r w:rsidRPr="00E77256">
        <w:t xml:space="preserve">edition). Blackwell Publishing. </w:t>
      </w:r>
    </w:p>
    <w:p w14:paraId="6730759D" w14:textId="77777777" w:rsidR="00E77256" w:rsidRPr="00E77256" w:rsidRDefault="00E77256" w:rsidP="00E77256">
      <w:pPr>
        <w:pStyle w:val="NormalWeb"/>
      </w:pPr>
      <w:r w:rsidRPr="00E77256">
        <w:t>Krebs, C.J. 1999. Ecological Methodology (2</w:t>
      </w:r>
      <w:proofErr w:type="spellStart"/>
      <w:r w:rsidRPr="00E77256">
        <w:rPr>
          <w:position w:val="8"/>
        </w:rPr>
        <w:t>nd</w:t>
      </w:r>
      <w:proofErr w:type="spellEnd"/>
      <w:r w:rsidRPr="00E77256">
        <w:rPr>
          <w:position w:val="8"/>
        </w:rPr>
        <w:t xml:space="preserve"> </w:t>
      </w:r>
      <w:r w:rsidRPr="00E77256">
        <w:t xml:space="preserve">edition). Addison-Wesley Educational Publishers, Inc. </w:t>
      </w:r>
    </w:p>
    <w:p w14:paraId="02E6441F" w14:textId="0D3496C3" w:rsidR="00E77256" w:rsidRPr="00E77256" w:rsidRDefault="00E77256" w:rsidP="00E77256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54263A8A" w14:textId="77777777" w:rsidR="00E77256" w:rsidRPr="00892849" w:rsidRDefault="00E77256" w:rsidP="00892849">
      <w:pPr>
        <w:spacing w:line="480" w:lineRule="auto"/>
        <w:rPr>
          <w:rFonts w:ascii="Times New Roman" w:hAnsi="Times New Roman" w:cs="Times New Roman"/>
        </w:rPr>
      </w:pPr>
    </w:p>
    <w:sectPr w:rsidR="00E77256" w:rsidRPr="00892849" w:rsidSect="009D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84EE9"/>
    <w:multiLevelType w:val="hybridMultilevel"/>
    <w:tmpl w:val="8F1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04040"/>
    <w:multiLevelType w:val="hybridMultilevel"/>
    <w:tmpl w:val="9BE2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7F"/>
    <w:rsid w:val="00087B7F"/>
    <w:rsid w:val="00153C23"/>
    <w:rsid w:val="001E56F2"/>
    <w:rsid w:val="00340FA1"/>
    <w:rsid w:val="00490421"/>
    <w:rsid w:val="004E076A"/>
    <w:rsid w:val="00530503"/>
    <w:rsid w:val="00564401"/>
    <w:rsid w:val="0072400E"/>
    <w:rsid w:val="0077217D"/>
    <w:rsid w:val="00880CBE"/>
    <w:rsid w:val="00892849"/>
    <w:rsid w:val="009D442C"/>
    <w:rsid w:val="00C15A32"/>
    <w:rsid w:val="00CE6729"/>
    <w:rsid w:val="00D901B7"/>
    <w:rsid w:val="00DB4A90"/>
    <w:rsid w:val="00E77256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9D419"/>
  <w15:chartTrackingRefBased/>
  <w15:docId w15:val="{6E1F8FA0-D914-8746-8F53-A6F229A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2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7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llyjosalomon/Library/Mobile%20Documents/com~apple~CloudDocs/biol%20495-%20wildlife%20bio/sri%20lanka%20bird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llyjosalomon/Library/Mobile%20Documents/com~apple~CloudDocs/biol%20495-%20wildlife%20bio/sri%20lanka%20bird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llyjosalomon/Library/Mobile%20Documents/com~apple~CloudDocs/biol%20495-%20wildlife%20bio/sri%20lanka%20bird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llyjosalomon/Library/Mobile%20Documents/com~apple~CloudDocs/biol%20495-%20wildlife%20bio/sri%20lanka%20bird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tables'!$C$2</c:f>
              <c:strCache>
                <c:ptCount val="1"/>
                <c:pt idx="0">
                  <c:v>Total species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'Summary tables'!$B$3:$B$7</c:f>
              <c:strCache>
                <c:ptCount val="5"/>
                <c:pt idx="0">
                  <c:v>Site 1</c:v>
                </c:pt>
                <c:pt idx="1">
                  <c:v>Site 2</c:v>
                </c:pt>
                <c:pt idx="2">
                  <c:v>Site 3</c:v>
                </c:pt>
                <c:pt idx="3">
                  <c:v>Site 4</c:v>
                </c:pt>
                <c:pt idx="4">
                  <c:v>Site 5</c:v>
                </c:pt>
              </c:strCache>
            </c:strRef>
          </c:cat>
          <c:val>
            <c:numRef>
              <c:f>'Summary tables'!$C$3:$C$7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0-4948-B927-C76AF77D91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263024"/>
        <c:axId val="187264656"/>
      </c:barChart>
      <c:catAx>
        <c:axId val="18726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264656"/>
        <c:crosses val="autoZero"/>
        <c:auto val="1"/>
        <c:lblAlgn val="ctr"/>
        <c:lblOffset val="100"/>
        <c:noMultiLvlLbl val="0"/>
      </c:catAx>
      <c:valAx>
        <c:axId val="18726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species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26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tables'!$N$23</c:f>
              <c:strCache>
                <c:ptCount val="1"/>
                <c:pt idx="0">
                  <c:v>Endemics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'Summary tables'!$M$24:$M$28</c:f>
              <c:strCache>
                <c:ptCount val="5"/>
                <c:pt idx="0">
                  <c:v>Site 1</c:v>
                </c:pt>
                <c:pt idx="1">
                  <c:v>Site 2</c:v>
                </c:pt>
                <c:pt idx="2">
                  <c:v>Site 3</c:v>
                </c:pt>
                <c:pt idx="3">
                  <c:v>Site 4</c:v>
                </c:pt>
                <c:pt idx="4">
                  <c:v>Site 5</c:v>
                </c:pt>
              </c:strCache>
            </c:strRef>
          </c:cat>
          <c:val>
            <c:numRef>
              <c:f>'Summary tables'!$N$24:$N$28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7F-764B-B89E-A95880371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536144"/>
        <c:axId val="191079632"/>
      </c:barChart>
      <c:catAx>
        <c:axId val="18853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079632"/>
        <c:crosses val="autoZero"/>
        <c:auto val="1"/>
        <c:lblAlgn val="ctr"/>
        <c:lblOffset val="100"/>
        <c:noMultiLvlLbl val="0"/>
      </c:catAx>
      <c:valAx>
        <c:axId val="19107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endemic species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53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tables'!$H$21</c:f>
              <c:strCache>
                <c:ptCount val="1"/>
                <c:pt idx="0">
                  <c:v>Simpson's 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'Summary tables'!$G$22:$G$26</c:f>
              <c:strCache>
                <c:ptCount val="5"/>
                <c:pt idx="0">
                  <c:v>Site 1</c:v>
                </c:pt>
                <c:pt idx="1">
                  <c:v>Site 2</c:v>
                </c:pt>
                <c:pt idx="2">
                  <c:v>Site 3</c:v>
                </c:pt>
                <c:pt idx="3">
                  <c:v>Site 4</c:v>
                </c:pt>
                <c:pt idx="4">
                  <c:v>Site 5</c:v>
                </c:pt>
              </c:strCache>
            </c:strRef>
          </c:cat>
          <c:val>
            <c:numRef>
              <c:f>'Summary tables'!$H$22:$H$26</c:f>
              <c:numCache>
                <c:formatCode>General</c:formatCode>
                <c:ptCount val="5"/>
                <c:pt idx="0">
                  <c:v>0.1</c:v>
                </c:pt>
                <c:pt idx="1">
                  <c:v>0.19</c:v>
                </c:pt>
                <c:pt idx="2">
                  <c:v>0.81</c:v>
                </c:pt>
                <c:pt idx="3">
                  <c:v>0.17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15-724D-AF87-285CADC5A1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946272"/>
        <c:axId val="18994790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'Summary tables'!$I$21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'Summary tables'!$G$22:$G$26</c15:sqref>
                        </c15:formulaRef>
                      </c:ext>
                    </c:extLst>
                    <c:strCache>
                      <c:ptCount val="5"/>
                      <c:pt idx="0">
                        <c:v>Site 1</c:v>
                      </c:pt>
                      <c:pt idx="1">
                        <c:v>Site 2</c:v>
                      </c:pt>
                      <c:pt idx="2">
                        <c:v>Site 3</c:v>
                      </c:pt>
                      <c:pt idx="3">
                        <c:v>Site 4</c:v>
                      </c:pt>
                      <c:pt idx="4">
                        <c:v>Site 5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'Summary tables'!$I$22:$I$26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DB15-724D-AF87-285CADC5A191}"/>
                  </c:ext>
                </c:extLst>
              </c15:ser>
            </c15:filteredBarSeries>
          </c:ext>
        </c:extLst>
      </c:barChart>
      <c:catAx>
        <c:axId val="18994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947904"/>
        <c:crosses val="autoZero"/>
        <c:auto val="1"/>
        <c:lblAlgn val="ctr"/>
        <c:lblOffset val="100"/>
        <c:noMultiLvlLbl val="0"/>
      </c:catAx>
      <c:valAx>
        <c:axId val="18994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94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tables'!$K$21</c:f>
              <c:strCache>
                <c:ptCount val="1"/>
                <c:pt idx="0">
                  <c:v>Shannon-Wiener H'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'Summary tables'!$J$22:$J$26</c:f>
              <c:strCache>
                <c:ptCount val="5"/>
                <c:pt idx="0">
                  <c:v>Site 1</c:v>
                </c:pt>
                <c:pt idx="1">
                  <c:v>Site 2</c:v>
                </c:pt>
                <c:pt idx="2">
                  <c:v>Site 3</c:v>
                </c:pt>
                <c:pt idx="3">
                  <c:v>Site 4</c:v>
                </c:pt>
                <c:pt idx="4">
                  <c:v>Site 5</c:v>
                </c:pt>
              </c:strCache>
            </c:strRef>
          </c:cat>
          <c:val>
            <c:numRef>
              <c:f>'Summary tables'!$K$22:$K$26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1.79</c:v>
                </c:pt>
                <c:pt idx="2">
                  <c:v>0.49</c:v>
                </c:pt>
                <c:pt idx="3">
                  <c:v>1.79</c:v>
                </c:pt>
                <c:pt idx="4">
                  <c:v>1.38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DF-9843-8499-07C612E26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791456"/>
        <c:axId val="15668382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'Summary tables'!$L$21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'Summary tables'!$J$22:$J$26</c15:sqref>
                        </c15:formulaRef>
                      </c:ext>
                    </c:extLst>
                    <c:strCache>
                      <c:ptCount val="5"/>
                      <c:pt idx="0">
                        <c:v>Site 1</c:v>
                      </c:pt>
                      <c:pt idx="1">
                        <c:v>Site 2</c:v>
                      </c:pt>
                      <c:pt idx="2">
                        <c:v>Site 3</c:v>
                      </c:pt>
                      <c:pt idx="3">
                        <c:v>Site 4</c:v>
                      </c:pt>
                      <c:pt idx="4">
                        <c:v>Site 5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'Summary tables'!$L$22:$L$26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EDF-9843-8499-07C612E26BB5}"/>
                  </c:ext>
                </c:extLst>
              </c15:ser>
            </c15:filteredBarSeries>
          </c:ext>
        </c:extLst>
      </c:barChart>
      <c:catAx>
        <c:axId val="15679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683824"/>
        <c:crosses val="autoZero"/>
        <c:auto val="1"/>
        <c:lblAlgn val="ctr"/>
        <c:lblOffset val="100"/>
        <c:noMultiLvlLbl val="0"/>
      </c:catAx>
      <c:valAx>
        <c:axId val="15668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79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Salomon</dc:creator>
  <cp:keywords/>
  <dc:description/>
  <cp:lastModifiedBy>Ally Salomon</cp:lastModifiedBy>
  <cp:revision>2</cp:revision>
  <dcterms:created xsi:type="dcterms:W3CDTF">2020-11-12T20:23:00Z</dcterms:created>
  <dcterms:modified xsi:type="dcterms:W3CDTF">2020-11-12T20:23:00Z</dcterms:modified>
</cp:coreProperties>
</file>