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1D840" w14:textId="236626CB" w:rsidR="00C36B87" w:rsidRDefault="00C36B87" w:rsidP="00C36B87">
      <w:pPr>
        <w:spacing w:line="480" w:lineRule="auto"/>
      </w:pPr>
    </w:p>
    <w:p w14:paraId="20EB0BCC" w14:textId="7430579D" w:rsidR="00C36B87" w:rsidRDefault="00C36B87" w:rsidP="00C36B87">
      <w:pPr>
        <w:spacing w:line="480" w:lineRule="auto"/>
      </w:pPr>
    </w:p>
    <w:p w14:paraId="7D9E1F50" w14:textId="362434E0" w:rsidR="00C36B87" w:rsidRDefault="00C36B87" w:rsidP="00C36B87">
      <w:pPr>
        <w:spacing w:line="480" w:lineRule="auto"/>
      </w:pPr>
    </w:p>
    <w:p w14:paraId="260D561C" w14:textId="68AD36C1" w:rsidR="00C36B87" w:rsidRDefault="00C36B87" w:rsidP="00C36B87">
      <w:pPr>
        <w:spacing w:line="480" w:lineRule="auto"/>
      </w:pPr>
    </w:p>
    <w:p w14:paraId="581A67FF" w14:textId="08149255" w:rsidR="00C36B87" w:rsidRDefault="00C36B87" w:rsidP="00C36B87">
      <w:pPr>
        <w:spacing w:line="480" w:lineRule="auto"/>
      </w:pPr>
    </w:p>
    <w:p w14:paraId="183E818D" w14:textId="4CBB7BE5" w:rsidR="00C36B87" w:rsidRPr="00734C33" w:rsidRDefault="00077BED" w:rsidP="00C36B87">
      <w:pPr>
        <w:spacing w:line="480" w:lineRule="auto"/>
        <w:jc w:val="center"/>
      </w:pPr>
      <w:r>
        <w:t xml:space="preserve">Expressing the GFP gene </w:t>
      </w:r>
      <w:r w:rsidR="0099041B">
        <w:t xml:space="preserve">from the pGLO plasmid </w:t>
      </w:r>
      <w:r>
        <w:t xml:space="preserve">in </w:t>
      </w:r>
      <w:r w:rsidRPr="00077BED">
        <w:rPr>
          <w:i/>
          <w:iCs/>
        </w:rPr>
        <w:t>E. coli</w:t>
      </w:r>
      <w:r w:rsidR="00734C33">
        <w:rPr>
          <w:i/>
          <w:iCs/>
        </w:rPr>
        <w:t xml:space="preserve"> </w:t>
      </w:r>
      <w:r w:rsidR="00734C33">
        <w:t>bacteria</w:t>
      </w:r>
    </w:p>
    <w:p w14:paraId="42BF9542" w14:textId="4ACDE569" w:rsidR="00C36B87" w:rsidRDefault="00C36B87" w:rsidP="00C36B87">
      <w:pPr>
        <w:spacing w:line="480" w:lineRule="auto"/>
        <w:jc w:val="center"/>
      </w:pPr>
    </w:p>
    <w:p w14:paraId="57E6BE37" w14:textId="4A1C3259" w:rsidR="00C36B87" w:rsidRDefault="00C36B87" w:rsidP="00C36B87">
      <w:pPr>
        <w:spacing w:line="480" w:lineRule="auto"/>
        <w:jc w:val="center"/>
      </w:pPr>
    </w:p>
    <w:p w14:paraId="36C46F87" w14:textId="30751FD2" w:rsidR="00C36B87" w:rsidRDefault="00C36B87" w:rsidP="00C36B87">
      <w:pPr>
        <w:spacing w:line="480" w:lineRule="auto"/>
        <w:jc w:val="center"/>
      </w:pPr>
      <w:r>
        <w:t>Miguel Diaz-Montealegre</w:t>
      </w:r>
    </w:p>
    <w:p w14:paraId="185276C9" w14:textId="1EBA9DA9" w:rsidR="00C36B87" w:rsidRDefault="00C36B87" w:rsidP="00C36B87">
      <w:pPr>
        <w:spacing w:line="480" w:lineRule="auto"/>
        <w:jc w:val="center"/>
      </w:pPr>
      <w:r>
        <w:t>BIOL 250-</w:t>
      </w:r>
      <w:r w:rsidR="00192F8E">
        <w:t>02</w:t>
      </w:r>
    </w:p>
    <w:p w14:paraId="38B75330" w14:textId="1CA79C10" w:rsidR="00C36B87" w:rsidRDefault="00C36B87" w:rsidP="00C36B87">
      <w:pPr>
        <w:spacing w:line="480" w:lineRule="auto"/>
        <w:jc w:val="center"/>
      </w:pPr>
      <w:r>
        <w:t>Fall 2020</w:t>
      </w:r>
    </w:p>
    <w:p w14:paraId="651ADEFD" w14:textId="52E96D32" w:rsidR="0030140B" w:rsidRDefault="0030140B">
      <w:r>
        <w:br w:type="page"/>
      </w:r>
    </w:p>
    <w:p w14:paraId="0761AF21" w14:textId="0EAE3231" w:rsidR="00D05472" w:rsidRDefault="00D05472" w:rsidP="0030140B">
      <w:pPr>
        <w:spacing w:line="480" w:lineRule="auto"/>
        <w:rPr>
          <w:b/>
          <w:bCs/>
        </w:rPr>
      </w:pPr>
      <w:r>
        <w:rPr>
          <w:b/>
          <w:bCs/>
        </w:rPr>
        <w:lastRenderedPageBreak/>
        <w:t>ABSTRACT</w:t>
      </w:r>
    </w:p>
    <w:p w14:paraId="08B76CBE" w14:textId="223F554D" w:rsidR="00D05472" w:rsidRDefault="00D05472" w:rsidP="0030140B">
      <w:pPr>
        <w:spacing w:line="480" w:lineRule="auto"/>
      </w:pPr>
      <w:r>
        <w:tab/>
      </w:r>
      <w:r w:rsidR="004247FE">
        <w:t xml:space="preserve">The goal of this research project was </w:t>
      </w:r>
      <w:r w:rsidR="00915CA7">
        <w:t xml:space="preserve">to gain a better understanding of molecular biology and genetics through the scope of gene expression. </w:t>
      </w:r>
      <w:r w:rsidR="00F2102D">
        <w:t xml:space="preserve">The research question of this project was to determine whether the Green Fluorescent Protein (GFP) gene from a pGLO plasmid could be expressed in </w:t>
      </w:r>
      <w:r w:rsidR="00770F1A">
        <w:rPr>
          <w:i/>
          <w:iCs/>
        </w:rPr>
        <w:t>E</w:t>
      </w:r>
      <w:r w:rsidR="00C163A4">
        <w:rPr>
          <w:i/>
          <w:iCs/>
        </w:rPr>
        <w:t>.</w:t>
      </w:r>
      <w:r w:rsidR="00770F1A">
        <w:rPr>
          <w:i/>
          <w:iCs/>
        </w:rPr>
        <w:t xml:space="preserve"> col</w:t>
      </w:r>
      <w:r w:rsidR="00C163A4">
        <w:rPr>
          <w:i/>
          <w:iCs/>
        </w:rPr>
        <w:t>i</w:t>
      </w:r>
      <w:r w:rsidR="00770F1A">
        <w:rPr>
          <w:i/>
          <w:iCs/>
        </w:rPr>
        <w:t xml:space="preserve"> </w:t>
      </w:r>
      <w:r w:rsidR="00F2102D">
        <w:t>bacteria.</w:t>
      </w:r>
      <w:r w:rsidR="00F839AD">
        <w:t xml:space="preserve"> </w:t>
      </w:r>
      <w:r w:rsidR="00962895">
        <w:t xml:space="preserve">The methods of this research project included </w:t>
      </w:r>
      <w:r w:rsidR="00962895" w:rsidRPr="00962895">
        <w:t>P</w:t>
      </w:r>
      <w:r w:rsidR="00962895">
        <w:t xml:space="preserve">olymerase </w:t>
      </w:r>
      <w:r w:rsidR="00962895" w:rsidRPr="00962895">
        <w:t>C</w:t>
      </w:r>
      <w:r w:rsidR="00962895">
        <w:t xml:space="preserve">hain </w:t>
      </w:r>
      <w:r w:rsidR="00962895" w:rsidRPr="00962895">
        <w:t>R</w:t>
      </w:r>
      <w:r w:rsidR="00962895">
        <w:t>eaction</w:t>
      </w:r>
      <w:r w:rsidR="00962895" w:rsidRPr="00962895">
        <w:t xml:space="preserve">, </w:t>
      </w:r>
      <w:r w:rsidR="00DC28F6">
        <w:t>agarose g</w:t>
      </w:r>
      <w:r w:rsidR="00962895" w:rsidRPr="00962895">
        <w:t xml:space="preserve">el electrophoresis, </w:t>
      </w:r>
      <w:r w:rsidR="00DC28F6">
        <w:t>a</w:t>
      </w:r>
      <w:r w:rsidR="00962895" w:rsidRPr="00962895">
        <w:t xml:space="preserve">mplicon </w:t>
      </w:r>
      <w:r w:rsidR="00DC28F6">
        <w:t>purification</w:t>
      </w:r>
      <w:r w:rsidR="00962895" w:rsidRPr="00962895">
        <w:t xml:space="preserve">, </w:t>
      </w:r>
      <w:r w:rsidR="00DC28F6">
        <w:t>amplicon c</w:t>
      </w:r>
      <w:r w:rsidR="00962895" w:rsidRPr="00962895">
        <w:t xml:space="preserve">oncentration measurement, </w:t>
      </w:r>
      <w:r w:rsidR="00E71FBC">
        <w:t xml:space="preserve">set-up of </w:t>
      </w:r>
      <w:r w:rsidR="00DC28F6">
        <w:t>s</w:t>
      </w:r>
      <w:r w:rsidR="00962895" w:rsidRPr="00962895">
        <w:t>equencing reactions, BLAST analysis</w:t>
      </w:r>
      <w:r w:rsidR="003E4502">
        <w:t xml:space="preserve"> of the amplicon</w:t>
      </w:r>
      <w:r w:rsidR="00962895" w:rsidRPr="00962895">
        <w:t>,</w:t>
      </w:r>
      <w:r w:rsidR="003E4502">
        <w:t xml:space="preserve"> creation of the </w:t>
      </w:r>
      <w:r w:rsidR="00962895" w:rsidRPr="00962895">
        <w:t xml:space="preserve">SnapGene viewer pGLO map, </w:t>
      </w:r>
      <w:r w:rsidR="003E4502">
        <w:t>t</w:t>
      </w:r>
      <w:r w:rsidR="00962895" w:rsidRPr="00962895">
        <w:t>ransformation</w:t>
      </w:r>
      <w:r w:rsidR="003E4502">
        <w:t xml:space="preserve"> of </w:t>
      </w:r>
      <w:r w:rsidR="006547E7">
        <w:t xml:space="preserve">the pGLO plasmid into </w:t>
      </w:r>
      <w:r w:rsidR="005746FC">
        <w:rPr>
          <w:i/>
          <w:iCs/>
        </w:rPr>
        <w:t>E. coli</w:t>
      </w:r>
      <w:r w:rsidR="00962895" w:rsidRPr="00962895">
        <w:t xml:space="preserve">, </w:t>
      </w:r>
      <w:r w:rsidR="005746FC">
        <w:t xml:space="preserve">and </w:t>
      </w:r>
      <w:r w:rsidR="00962895" w:rsidRPr="00962895">
        <w:t>GFP regulation by sugars</w:t>
      </w:r>
      <w:r w:rsidR="009E6568">
        <w:t>.</w:t>
      </w:r>
      <w:r w:rsidR="00874491">
        <w:t xml:space="preserve"> </w:t>
      </w:r>
      <w:r w:rsidR="00ED00A0">
        <w:t xml:space="preserve">Gel electrophoresis of the PCR amplicon </w:t>
      </w:r>
      <w:r w:rsidR="00E72096">
        <w:t>showed that the amplicon is 1000 bp in length</w:t>
      </w:r>
      <w:r w:rsidR="004F1451">
        <w:t xml:space="preserve"> and the amplicon concentration was measured to be </w:t>
      </w:r>
      <w:r w:rsidR="006957D0" w:rsidRPr="00394A2A">
        <w:t>44.4 nanograms per microliter</w:t>
      </w:r>
      <w:r w:rsidR="006957D0">
        <w:t>.</w:t>
      </w:r>
      <w:r w:rsidR="0021268C">
        <w:t xml:space="preserve"> </w:t>
      </w:r>
      <w:r w:rsidR="00765B6C">
        <w:t>T</w:t>
      </w:r>
      <w:r w:rsidR="00B16F8A">
        <w:t xml:space="preserve">he sequencing reaction was calculated to require </w:t>
      </w:r>
      <w:r w:rsidR="0021268C">
        <w:t>10.14 microliters of the purified amplicon and 4.86 microliters of water</w:t>
      </w:r>
      <w:r w:rsidR="00B16F8A">
        <w:t>.</w:t>
      </w:r>
      <w:r w:rsidR="00631C88">
        <w:t xml:space="preserve"> </w:t>
      </w:r>
      <w:r w:rsidR="00DF0133">
        <w:t xml:space="preserve">The purified PCR amplicon was sequenced and </w:t>
      </w:r>
      <w:r w:rsidR="00631C88">
        <w:t>analyzed through BLAST analysis</w:t>
      </w:r>
      <w:r w:rsidR="009A7579">
        <w:t xml:space="preserve"> and the </w:t>
      </w:r>
      <w:r w:rsidR="00AD0F01">
        <w:t xml:space="preserve">SnapGene </w:t>
      </w:r>
      <w:r w:rsidR="00C900AE">
        <w:t>v</w:t>
      </w:r>
      <w:r w:rsidR="00AD0F01">
        <w:t>iewer pGLO map was created.</w:t>
      </w:r>
      <w:r w:rsidR="00CD022E">
        <w:t xml:space="preserve"> </w:t>
      </w:r>
      <w:r w:rsidR="00F50A8D">
        <w:t xml:space="preserve">After transformation of </w:t>
      </w:r>
      <w:r w:rsidR="00F80F09">
        <w:t xml:space="preserve">the pGLO plasmid into </w:t>
      </w:r>
      <w:r w:rsidR="00F80F09">
        <w:rPr>
          <w:i/>
          <w:iCs/>
        </w:rPr>
        <w:t>E. coli</w:t>
      </w:r>
      <w:r w:rsidR="00F80F09">
        <w:t>,</w:t>
      </w:r>
      <w:r w:rsidR="00DB4424">
        <w:t xml:space="preserve"> </w:t>
      </w:r>
      <w:r w:rsidR="004444E2">
        <w:t xml:space="preserve">both of </w:t>
      </w:r>
      <w:r w:rsidR="00E418B0">
        <w:t>the +pGLO plates showed</w:t>
      </w:r>
      <w:r w:rsidR="000527BE">
        <w:t xml:space="preserve"> growth of colonies, the </w:t>
      </w:r>
      <w:r w:rsidR="004444E2">
        <w:t xml:space="preserve">LB/amp </w:t>
      </w:r>
      <w:r w:rsidR="000527BE">
        <w:t>-pGLO plate</w:t>
      </w:r>
      <w:r w:rsidR="00F80F09">
        <w:t xml:space="preserve"> </w:t>
      </w:r>
      <w:r w:rsidR="004444E2">
        <w:t xml:space="preserve">showed no growth, and the LB -pGLO plate </w:t>
      </w:r>
      <w:r w:rsidR="005922BD">
        <w:t xml:space="preserve">showed infinite growth. </w:t>
      </w:r>
      <w:r w:rsidR="00F32292">
        <w:t xml:space="preserve">After regulating GFP with sugars, the </w:t>
      </w:r>
      <w:r w:rsidR="00A7241C">
        <w:t>pGLO plate and pGLO+glu plate showed no bri</w:t>
      </w:r>
      <w:r w:rsidR="007E12B6">
        <w:t>ghtness</w:t>
      </w:r>
      <w:r w:rsidR="00A7241C">
        <w:t xml:space="preserve">, </w:t>
      </w:r>
      <w:r w:rsidR="007E12B6">
        <w:t>the pGLO+ara+glu plate showed moderate brightness, and the pGLO+</w:t>
      </w:r>
      <w:r w:rsidR="00F05744">
        <w:t xml:space="preserve">ara plate showed the most brightness. </w:t>
      </w:r>
      <w:r w:rsidR="00980EE2">
        <w:t>Based on the results, the experiments in our research project were successful and our hypothesis was supported.</w:t>
      </w:r>
    </w:p>
    <w:p w14:paraId="453B2CD7" w14:textId="77777777" w:rsidR="00980EE2" w:rsidRPr="00D05472" w:rsidRDefault="00980EE2" w:rsidP="0030140B">
      <w:pPr>
        <w:spacing w:line="480" w:lineRule="auto"/>
      </w:pPr>
    </w:p>
    <w:p w14:paraId="600EF679" w14:textId="49883072" w:rsidR="0030140B" w:rsidRPr="003853F3" w:rsidRDefault="003853F3" w:rsidP="0030140B">
      <w:pPr>
        <w:spacing w:line="480" w:lineRule="auto"/>
        <w:rPr>
          <w:b/>
          <w:bCs/>
        </w:rPr>
      </w:pPr>
      <w:r w:rsidRPr="003853F3">
        <w:rPr>
          <w:b/>
          <w:bCs/>
        </w:rPr>
        <w:t>INTRODUCTION</w:t>
      </w:r>
    </w:p>
    <w:p w14:paraId="66AEACFE" w14:textId="5A922E31" w:rsidR="003853F3" w:rsidRDefault="000A5C4F" w:rsidP="005148F5">
      <w:pPr>
        <w:spacing w:line="480" w:lineRule="auto"/>
        <w:ind w:firstLine="720"/>
      </w:pPr>
      <w:r>
        <w:t xml:space="preserve">Molecular biology and genetics </w:t>
      </w:r>
      <w:r w:rsidR="006F0CE6">
        <w:t xml:space="preserve">are branches in biology that </w:t>
      </w:r>
      <w:r>
        <w:t xml:space="preserve">are related through their overlapping areas of research and their similar research methods and techniques. </w:t>
      </w:r>
      <w:r w:rsidR="001F7455">
        <w:t xml:space="preserve">Molecular </w:t>
      </w:r>
      <w:r w:rsidR="001F7455">
        <w:lastRenderedPageBreak/>
        <w:t xml:space="preserve">biology </w:t>
      </w:r>
      <w:r w:rsidR="00BA4F01">
        <w:t>examines biomolecular structure and molecular functions such as DNA replication, transcription, and translation</w:t>
      </w:r>
      <w:r w:rsidR="00A239DA">
        <w:t xml:space="preserve"> </w:t>
      </w:r>
      <w:r w:rsidR="006F0CE6">
        <w:t xml:space="preserve">while </w:t>
      </w:r>
      <w:r w:rsidR="00DE6C3D">
        <w:t>g</w:t>
      </w:r>
      <w:r w:rsidR="00BA4F01">
        <w:t>enetics focuses on studyin</w:t>
      </w:r>
      <w:r w:rsidR="00A239DA">
        <w:t>g genes</w:t>
      </w:r>
      <w:r w:rsidR="00BA4F01">
        <w:t xml:space="preserve"> </w:t>
      </w:r>
      <w:r w:rsidR="00A239DA">
        <w:t xml:space="preserve">and DNA </w:t>
      </w:r>
      <w:r w:rsidR="00BA4F01">
        <w:t>which carr</w:t>
      </w:r>
      <w:r w:rsidR="00A239DA">
        <w:t>y</w:t>
      </w:r>
      <w:r w:rsidR="00BA4F01">
        <w:t xml:space="preserve"> the hereditary material of </w:t>
      </w:r>
      <w:r w:rsidR="00A239DA">
        <w:t xml:space="preserve">living </w:t>
      </w:r>
      <w:r w:rsidR="00BA4F01">
        <w:t>organisms</w:t>
      </w:r>
      <w:r w:rsidR="00FC6728">
        <w:t xml:space="preserve"> (Bergtrom 2018)</w:t>
      </w:r>
      <w:r w:rsidR="00A239DA">
        <w:t xml:space="preserve">. This </w:t>
      </w:r>
      <w:r w:rsidR="00807716">
        <w:t xml:space="preserve">aim of this </w:t>
      </w:r>
      <w:r w:rsidR="00A239DA">
        <w:t xml:space="preserve">research project </w:t>
      </w:r>
      <w:r w:rsidR="001778EB">
        <w:t>wa</w:t>
      </w:r>
      <w:r w:rsidR="001C67AE">
        <w:t>s</w:t>
      </w:r>
      <w:r w:rsidR="00807716">
        <w:t xml:space="preserve"> to gain a better understanding of </w:t>
      </w:r>
      <w:r w:rsidR="00A239DA">
        <w:t xml:space="preserve">molecular biology and genetics through the </w:t>
      </w:r>
      <w:r w:rsidR="00BE0968">
        <w:t>scope of gene expression</w:t>
      </w:r>
      <w:r w:rsidR="00807716">
        <w:t xml:space="preserve">. </w:t>
      </w:r>
      <w:r w:rsidR="00E2590D">
        <w:t xml:space="preserve">Research from </w:t>
      </w:r>
      <w:r w:rsidR="00E2590D" w:rsidRPr="00807716">
        <w:t>Niedenthal</w:t>
      </w:r>
      <w:r w:rsidR="00E2590D">
        <w:t xml:space="preserve"> et al. (1996) and Faust et al. (2000) indicates that the </w:t>
      </w:r>
      <w:r w:rsidR="003A03F2">
        <w:t>Green Fluorescent Protein (</w:t>
      </w:r>
      <w:r w:rsidR="00E2590D">
        <w:t>GFP</w:t>
      </w:r>
      <w:r w:rsidR="003A03F2">
        <w:t>)</w:t>
      </w:r>
      <w:r w:rsidR="00E2590D">
        <w:t xml:space="preserve"> gene has many fundamental uses in studies of gene expression and localization. </w:t>
      </w:r>
      <w:r w:rsidR="0099730E">
        <w:t xml:space="preserve">The </w:t>
      </w:r>
      <w:r w:rsidR="00514AA6">
        <w:t>research</w:t>
      </w:r>
      <w:r w:rsidR="0099730E">
        <w:t xml:space="preserve"> question of this research project</w:t>
      </w:r>
      <w:r w:rsidR="0030140B">
        <w:t xml:space="preserve"> </w:t>
      </w:r>
      <w:r w:rsidR="001778EB">
        <w:t>wa</w:t>
      </w:r>
      <w:r w:rsidR="0030140B">
        <w:t>s to determine whether the</w:t>
      </w:r>
      <w:r w:rsidR="003A03F2">
        <w:t xml:space="preserve"> GFP </w:t>
      </w:r>
      <w:r w:rsidR="0030140B">
        <w:t xml:space="preserve">gene from a pGLO plasmid could be expressed in </w:t>
      </w:r>
      <w:r w:rsidR="0099730E">
        <w:t xml:space="preserve">bacteria. The </w:t>
      </w:r>
      <w:r w:rsidR="00807716">
        <w:t xml:space="preserve">hypothesis of this project </w:t>
      </w:r>
      <w:r w:rsidR="001C67AE">
        <w:t>i</w:t>
      </w:r>
      <w:r w:rsidR="00807716">
        <w:t>s</w:t>
      </w:r>
      <w:r w:rsidR="0099730E">
        <w:t xml:space="preserve"> that the GFP gene </w:t>
      </w:r>
      <w:r w:rsidR="00514AA6">
        <w:t xml:space="preserve">from the pGLO plasmid </w:t>
      </w:r>
      <w:r w:rsidR="0099730E">
        <w:t>could be expressed in</w:t>
      </w:r>
      <w:r w:rsidR="00770F1A">
        <w:t xml:space="preserve"> </w:t>
      </w:r>
      <w:r w:rsidR="00770F1A">
        <w:rPr>
          <w:i/>
          <w:iCs/>
        </w:rPr>
        <w:t xml:space="preserve">E. coli </w:t>
      </w:r>
      <w:r w:rsidR="0099730E">
        <w:t>bacteria.</w:t>
      </w:r>
      <w:r w:rsidR="00807716">
        <w:t xml:space="preserve"> </w:t>
      </w:r>
      <w:r w:rsidR="00514AA6">
        <w:t xml:space="preserve">The research from Niedenthal et al. </w:t>
      </w:r>
      <w:r w:rsidR="0093322D">
        <w:t xml:space="preserve">(1996) </w:t>
      </w:r>
      <w:r w:rsidR="00514AA6">
        <w:t>supports the hypothesis by demonstrating that GFP can be used as a marker in gene expression.</w:t>
      </w:r>
    </w:p>
    <w:p w14:paraId="33BCEE4D" w14:textId="728CBF23" w:rsidR="00980EE2" w:rsidRDefault="00980EE2" w:rsidP="0030140B">
      <w:pPr>
        <w:spacing w:line="480" w:lineRule="auto"/>
        <w:rPr>
          <w:b/>
          <w:bCs/>
        </w:rPr>
      </w:pPr>
    </w:p>
    <w:p w14:paraId="1C8DA5F7" w14:textId="6E6D3621" w:rsidR="00325E6E" w:rsidRPr="00325E6E" w:rsidRDefault="00325E6E" w:rsidP="0030140B">
      <w:pPr>
        <w:spacing w:line="480" w:lineRule="auto"/>
      </w:pPr>
      <w:r>
        <w:rPr>
          <w:b/>
          <w:bCs/>
        </w:rPr>
        <w:t>METHODS</w:t>
      </w:r>
    </w:p>
    <w:p w14:paraId="72B78D8C" w14:textId="3231EE39" w:rsidR="00BE42DF" w:rsidRPr="00BE42DF" w:rsidRDefault="00C83DC5" w:rsidP="0030140B">
      <w:pPr>
        <w:spacing w:line="480" w:lineRule="auto"/>
        <w:rPr>
          <w:i/>
          <w:iCs/>
        </w:rPr>
      </w:pPr>
      <w:r w:rsidRPr="00BE42DF">
        <w:rPr>
          <w:i/>
          <w:iCs/>
        </w:rPr>
        <w:t>Polymerase Chain Reaction</w:t>
      </w:r>
      <w:r w:rsidR="002D36B9">
        <w:rPr>
          <w:i/>
          <w:iCs/>
        </w:rPr>
        <w:t xml:space="preserve"> (PCR)</w:t>
      </w:r>
    </w:p>
    <w:p w14:paraId="6647E145" w14:textId="7B4D74CE" w:rsidR="00E56201" w:rsidRDefault="006A5C34" w:rsidP="00BE42DF">
      <w:pPr>
        <w:spacing w:line="480" w:lineRule="auto"/>
        <w:ind w:firstLine="720"/>
      </w:pPr>
      <w:r>
        <w:t xml:space="preserve">Twenty </w:t>
      </w:r>
      <w:r w:rsidRPr="006A5C34">
        <w:t>μl</w:t>
      </w:r>
      <w:r>
        <w:t xml:space="preserve"> </w:t>
      </w:r>
      <w:r w:rsidR="00E9181C">
        <w:t>of w</w:t>
      </w:r>
      <w:r w:rsidR="00BE42DF" w:rsidRPr="00BE42DF">
        <w:t xml:space="preserve">ater, </w:t>
      </w:r>
      <w:r w:rsidR="00E9181C">
        <w:t xml:space="preserve">10 </w:t>
      </w:r>
      <w:r w:rsidR="00E9181C" w:rsidRPr="006A5C34">
        <w:t>μl</w:t>
      </w:r>
      <w:r w:rsidR="00E9181C" w:rsidRPr="00BE42DF">
        <w:t xml:space="preserve"> </w:t>
      </w:r>
      <w:r w:rsidR="00E9181C">
        <w:t xml:space="preserve"> of </w:t>
      </w:r>
      <w:r w:rsidR="00C25442">
        <w:t xml:space="preserve">2 nM </w:t>
      </w:r>
      <w:r w:rsidR="00BE42DF" w:rsidRPr="00BE42DF">
        <w:t xml:space="preserve">DNA template, </w:t>
      </w:r>
      <w:r w:rsidR="00E9181C">
        <w:t xml:space="preserve">10 </w:t>
      </w:r>
      <w:r w:rsidR="00E9181C" w:rsidRPr="006A5C34">
        <w:t>μl</w:t>
      </w:r>
      <w:r w:rsidR="00E9181C" w:rsidRPr="00BE42DF">
        <w:t xml:space="preserve"> </w:t>
      </w:r>
      <w:r w:rsidR="00E9181C">
        <w:t xml:space="preserve"> of </w:t>
      </w:r>
      <w:r w:rsidR="00150248" w:rsidRPr="00150248">
        <w:t xml:space="preserve">4μM </w:t>
      </w:r>
      <w:r w:rsidR="00BE42DF" w:rsidRPr="00BE42DF">
        <w:t>GFP_F1</w:t>
      </w:r>
      <w:r w:rsidR="00A123A5">
        <w:t xml:space="preserve"> primer</w:t>
      </w:r>
      <w:r w:rsidR="00BE42DF" w:rsidRPr="00BE42DF">
        <w:t xml:space="preserve">, </w:t>
      </w:r>
      <w:r w:rsidR="00E9181C">
        <w:t xml:space="preserve">10 </w:t>
      </w:r>
      <w:r w:rsidR="00E9181C" w:rsidRPr="006A5C34">
        <w:t>μl</w:t>
      </w:r>
      <w:r w:rsidR="00E9181C" w:rsidRPr="00BE42DF">
        <w:t xml:space="preserve"> </w:t>
      </w:r>
      <w:r w:rsidR="00E9181C">
        <w:t xml:space="preserve"> of </w:t>
      </w:r>
      <w:r w:rsidR="00150248" w:rsidRPr="00150248">
        <w:t>4μM</w:t>
      </w:r>
      <w:r w:rsidR="00BE42DF" w:rsidRPr="00BE42DF">
        <w:t xml:space="preserve"> GFP_R1</w:t>
      </w:r>
      <w:r w:rsidR="00A123A5">
        <w:t xml:space="preserve"> primer</w:t>
      </w:r>
      <w:r w:rsidR="00BE42DF" w:rsidRPr="00BE42DF">
        <w:t xml:space="preserve">, and </w:t>
      </w:r>
      <w:r w:rsidR="0008310D">
        <w:t xml:space="preserve">50 </w:t>
      </w:r>
      <w:r w:rsidR="0008310D" w:rsidRPr="006A5C34">
        <w:t>μl</w:t>
      </w:r>
      <w:r w:rsidR="0008310D" w:rsidRPr="00BE42DF">
        <w:t xml:space="preserve"> </w:t>
      </w:r>
      <w:r w:rsidR="0008310D">
        <w:t xml:space="preserve">of </w:t>
      </w:r>
      <w:r w:rsidR="00416DE5">
        <w:t xml:space="preserve">2X </w:t>
      </w:r>
      <w:r w:rsidR="00BE42DF" w:rsidRPr="00BE42DF">
        <w:t xml:space="preserve">Master Mix were pipetted into a PCR tube. </w:t>
      </w:r>
      <w:r w:rsidR="00A123A5">
        <w:t xml:space="preserve">The sequence of the </w:t>
      </w:r>
      <w:r w:rsidR="00A123A5" w:rsidRPr="00BE42DF">
        <w:t>GFP_F1</w:t>
      </w:r>
      <w:r w:rsidR="00A123A5">
        <w:t xml:space="preserve"> primer </w:t>
      </w:r>
      <w:r w:rsidR="004659FE">
        <w:t xml:space="preserve">was </w:t>
      </w:r>
      <w:r w:rsidR="004659FE" w:rsidRPr="004659FE">
        <w:t>5’ atcgcaactctctactgtttc 3’</w:t>
      </w:r>
      <w:r w:rsidR="004659FE">
        <w:t xml:space="preserve"> and the sequence of the </w:t>
      </w:r>
      <w:r w:rsidR="004659FE" w:rsidRPr="00BE42DF">
        <w:t>GFP_R1</w:t>
      </w:r>
      <w:r w:rsidR="004659FE">
        <w:t xml:space="preserve"> primer </w:t>
      </w:r>
      <w:r w:rsidR="003B36A8">
        <w:t xml:space="preserve">was </w:t>
      </w:r>
      <w:r w:rsidR="003B36A8" w:rsidRPr="003B36A8">
        <w:t>5’ tctgatttaatctgtatcaggc 3’</w:t>
      </w:r>
      <w:r w:rsidR="00F11053">
        <w:t>.</w:t>
      </w:r>
      <w:r w:rsidR="00A123A5">
        <w:t xml:space="preserve"> </w:t>
      </w:r>
      <w:r w:rsidR="00BE42DF" w:rsidRPr="00BE42DF">
        <w:t xml:space="preserve">The </w:t>
      </w:r>
      <w:r w:rsidR="009D4655">
        <w:t xml:space="preserve">PCR </w:t>
      </w:r>
      <w:r w:rsidR="00BE42DF" w:rsidRPr="00BE42DF">
        <w:t xml:space="preserve">tube was placed into a </w:t>
      </w:r>
      <w:r w:rsidR="009D4655">
        <w:t>thermal cycl</w:t>
      </w:r>
      <w:r w:rsidR="009512A5">
        <w:t>ing device</w:t>
      </w:r>
      <w:r w:rsidR="009D4655">
        <w:t xml:space="preserve"> with </w:t>
      </w:r>
      <w:r w:rsidR="009512A5">
        <w:t xml:space="preserve">a thermal profile composed of </w:t>
      </w:r>
      <w:r w:rsidR="00B269FE">
        <w:t xml:space="preserve">steps with specific temperatures and </w:t>
      </w:r>
      <w:r w:rsidR="00F87434">
        <w:t>amount of time for each temperature to be held at.</w:t>
      </w:r>
      <w:r w:rsidR="008E4A95">
        <w:t xml:space="preserve"> The first step of the thermal cycle was </w:t>
      </w:r>
      <w:r w:rsidR="00803B56">
        <w:t>at 94</w:t>
      </w:r>
      <w:r w:rsidR="00375A3E" w:rsidRPr="00375A3E">
        <w:t>°</w:t>
      </w:r>
      <w:r w:rsidR="00375A3E">
        <w:t>C</w:t>
      </w:r>
      <w:r w:rsidR="00803B56">
        <w:t xml:space="preserve"> </w:t>
      </w:r>
      <w:r w:rsidR="001558DF">
        <w:t xml:space="preserve">for 4 minutes. </w:t>
      </w:r>
      <w:r w:rsidR="00375A3E">
        <w:t xml:space="preserve">The second step of the thermal cycle </w:t>
      </w:r>
      <w:r w:rsidR="004301E1">
        <w:t xml:space="preserve">was </w:t>
      </w:r>
      <w:r w:rsidR="00C46F57">
        <w:t>94</w:t>
      </w:r>
      <w:r w:rsidR="00C46F57" w:rsidRPr="00375A3E">
        <w:t>°</w:t>
      </w:r>
      <w:r w:rsidR="00C46F57">
        <w:t>C for 30 seconds, 50</w:t>
      </w:r>
      <w:r w:rsidR="00C46F57" w:rsidRPr="00375A3E">
        <w:t>°</w:t>
      </w:r>
      <w:r w:rsidR="00C46F57">
        <w:t>C for 30 seconds, and 72</w:t>
      </w:r>
      <w:r w:rsidR="00C46F57" w:rsidRPr="00375A3E">
        <w:t>°</w:t>
      </w:r>
      <w:r w:rsidR="00C46F57">
        <w:t xml:space="preserve">C for 60 seconds </w:t>
      </w:r>
      <w:r w:rsidR="00450EB3">
        <w:t xml:space="preserve">and this entire step </w:t>
      </w:r>
      <w:r w:rsidR="00617156">
        <w:t xml:space="preserve">was </w:t>
      </w:r>
      <w:r w:rsidR="00450EB3">
        <w:t>repeated 30 times</w:t>
      </w:r>
      <w:r w:rsidR="00D95A7A">
        <w:t>. The third step of the thermal cycle was at 72</w:t>
      </w:r>
      <w:r w:rsidR="00D95A7A" w:rsidRPr="00375A3E">
        <w:t>°</w:t>
      </w:r>
      <w:r w:rsidR="00D95A7A">
        <w:t xml:space="preserve">C for </w:t>
      </w:r>
      <w:r w:rsidR="007A7C96">
        <w:t xml:space="preserve">7 minutes. </w:t>
      </w:r>
      <w:r w:rsidR="00790FBB">
        <w:t>The final step of the thermal cycle was at 4</w:t>
      </w:r>
      <w:r w:rsidR="00790FBB" w:rsidRPr="00375A3E">
        <w:t>°</w:t>
      </w:r>
      <w:r w:rsidR="00790FBB">
        <w:t xml:space="preserve">C </w:t>
      </w:r>
      <w:r w:rsidR="000460D5">
        <w:t>overnight.</w:t>
      </w:r>
    </w:p>
    <w:p w14:paraId="45779597" w14:textId="3193F0B5" w:rsidR="00414B14" w:rsidRPr="000460D5" w:rsidRDefault="00E56201" w:rsidP="0030140B">
      <w:pPr>
        <w:spacing w:line="480" w:lineRule="auto"/>
        <w:rPr>
          <w:i/>
          <w:iCs/>
        </w:rPr>
      </w:pPr>
      <w:r w:rsidRPr="000460D5">
        <w:rPr>
          <w:i/>
          <w:iCs/>
        </w:rPr>
        <w:lastRenderedPageBreak/>
        <w:t>A</w:t>
      </w:r>
      <w:r w:rsidR="00C83DC5" w:rsidRPr="000460D5">
        <w:rPr>
          <w:i/>
          <w:iCs/>
        </w:rPr>
        <w:t>garose gel electrophoresis</w:t>
      </w:r>
    </w:p>
    <w:p w14:paraId="0CE47492" w14:textId="77777777" w:rsidR="00C72A2C" w:rsidRDefault="007A557C" w:rsidP="00C72A2C">
      <w:pPr>
        <w:spacing w:line="480" w:lineRule="auto"/>
        <w:ind w:firstLine="720"/>
      </w:pPr>
      <w:r w:rsidRPr="007A557C">
        <w:t>Before the gel electrophoresis occurred, the 1% agarose gel was prepared by mixing 1 gram of agarose with 100 milliliters of 0.25 X TAE buffer. The agarose gel was poured into a gel tray, a comb was inserted into the gel, and the gel was hardened through refrigeration. The comb was removed from the gel by pulling it straight up and out which formed wells in the gel. The gel was oriented positive to negative based with the side of the gel that had the wells on the positive side. 0.25 X TAE buffer was added to the platform with the gel tray until the tray was submerged.</w:t>
      </w:r>
    </w:p>
    <w:p w14:paraId="1E656233" w14:textId="0ADB4A24" w:rsidR="007A557C" w:rsidRDefault="00C72A2C" w:rsidP="00C72A2C">
      <w:pPr>
        <w:spacing w:line="480" w:lineRule="auto"/>
        <w:ind w:firstLine="720"/>
      </w:pPr>
      <w:r>
        <w:t>Three</w:t>
      </w:r>
      <w:r w:rsidR="007A557C" w:rsidRPr="007A557C">
        <w:t xml:space="preserve"> microliters of the DNA solution from the PCR reaction was pipetted into a microfuge tube containing 7 microliters of the loading buffer. The loading buffer consisted on 5 microliters of water and 2 microliters of 6X Loading Buffer. The mixture of the loading buffer and DNA solution from the PCR reaction was pipetted into a well in the gel. Samples from three other students, a positive control, a negative control and a Quick-load 2-log DNA ladder were also pipetted into the wells with one and two wells left empty on the sides of the gel. The lid was placed on the electrophoresis chamber and the electrical leads were connected to the power supply based on their red or black color. The gel was run at 300 V for 25 minutes. The gel was then removed from the electrophoresis chamber and then viewed by using the visualizer with the assistance of the lab instructor.</w:t>
      </w:r>
    </w:p>
    <w:p w14:paraId="206C2F7A" w14:textId="77777777" w:rsidR="00033B83" w:rsidRDefault="00033B83" w:rsidP="0030140B">
      <w:pPr>
        <w:spacing w:line="480" w:lineRule="auto"/>
        <w:rPr>
          <w:i/>
          <w:iCs/>
        </w:rPr>
      </w:pPr>
    </w:p>
    <w:p w14:paraId="08C72F26" w14:textId="02235478" w:rsidR="00414B14" w:rsidRPr="00033B83" w:rsidRDefault="00E56201" w:rsidP="0030140B">
      <w:pPr>
        <w:spacing w:line="480" w:lineRule="auto"/>
        <w:rPr>
          <w:i/>
          <w:iCs/>
        </w:rPr>
      </w:pPr>
      <w:r w:rsidRPr="00033B83">
        <w:rPr>
          <w:i/>
          <w:iCs/>
        </w:rPr>
        <w:t>A</w:t>
      </w:r>
      <w:r w:rsidR="00C83DC5" w:rsidRPr="00033B83">
        <w:rPr>
          <w:i/>
          <w:iCs/>
        </w:rPr>
        <w:t>mplicon purification</w:t>
      </w:r>
    </w:p>
    <w:p w14:paraId="0CE483B6" w14:textId="5B016DBB" w:rsidR="00B82DE3" w:rsidRDefault="003A0402" w:rsidP="003A0402">
      <w:pPr>
        <w:spacing w:line="480" w:lineRule="auto"/>
        <w:ind w:firstLine="720"/>
      </w:pPr>
      <w:r w:rsidRPr="003A0402">
        <w:t xml:space="preserve">The PCR amplicon cleaning process began by mixing </w:t>
      </w:r>
      <w:r w:rsidR="00A53AC6">
        <w:t xml:space="preserve">97 </w:t>
      </w:r>
      <w:r w:rsidR="00A53AC6" w:rsidRPr="006A5C34">
        <w:t>μl</w:t>
      </w:r>
      <w:r w:rsidR="00A53AC6" w:rsidRPr="003A0402">
        <w:t xml:space="preserve"> </w:t>
      </w:r>
      <w:r w:rsidR="00A53AC6">
        <w:t xml:space="preserve">of </w:t>
      </w:r>
      <w:r w:rsidRPr="003A0402">
        <w:t xml:space="preserve">the amplicon with </w:t>
      </w:r>
      <w:r w:rsidR="009E2B5A">
        <w:t xml:space="preserve">500 </w:t>
      </w:r>
      <w:r w:rsidR="009E2B5A" w:rsidRPr="006A5C34">
        <w:t>μl</w:t>
      </w:r>
      <w:r w:rsidR="009E2B5A">
        <w:t xml:space="preserve"> of </w:t>
      </w:r>
      <w:r w:rsidRPr="003A0402">
        <w:t xml:space="preserve">binding buffer and centrifuging this mixture in a tube with a spin filter column. The filter column captured the DNA and the binding buffer and leftover reagents from the PCR reaction </w:t>
      </w:r>
      <w:r w:rsidRPr="003A0402">
        <w:lastRenderedPageBreak/>
        <w:t xml:space="preserve">flowed through the filter column and were discarded. Then, </w:t>
      </w:r>
      <w:r w:rsidR="0060779A">
        <w:t xml:space="preserve">200 </w:t>
      </w:r>
      <w:r w:rsidR="0060779A" w:rsidRPr="006A5C34">
        <w:t>μl</w:t>
      </w:r>
      <w:r w:rsidR="0060779A">
        <w:t xml:space="preserve"> of </w:t>
      </w:r>
      <w:r w:rsidRPr="003A0402">
        <w:t xml:space="preserve">washing buffer was added to the DNA in the filter column and centrifuged. The DNA was captured in the filter and the flowthrough that was produced was discarded. This washing process was done twice in order to clean the DNA and remove any contaminants. The filter column with the DNA was transferred to a sterile microfuge tube and </w:t>
      </w:r>
      <w:r w:rsidR="0060779A">
        <w:t xml:space="preserve">30 </w:t>
      </w:r>
      <w:r w:rsidR="0060779A" w:rsidRPr="006A5C34">
        <w:t>μl</w:t>
      </w:r>
      <w:r w:rsidR="0060779A" w:rsidRPr="003A0402">
        <w:t xml:space="preserve"> </w:t>
      </w:r>
      <w:r w:rsidR="0060779A">
        <w:t xml:space="preserve">of </w:t>
      </w:r>
      <w:r w:rsidRPr="003A0402">
        <w:t>elution buffer was added to the filter column. The DNA was allowed to sit in the elution buffer for 1 minute, centrifuged, and the DNA collected at the bottom of the microfuge tube.</w:t>
      </w:r>
    </w:p>
    <w:p w14:paraId="1AFD3B60" w14:textId="77777777" w:rsidR="003A0402" w:rsidRDefault="003A0402" w:rsidP="0030140B">
      <w:pPr>
        <w:spacing w:line="480" w:lineRule="auto"/>
      </w:pPr>
    </w:p>
    <w:p w14:paraId="78E12FC5" w14:textId="408CD2C1" w:rsidR="00414B14" w:rsidRPr="00B93EE6" w:rsidRDefault="00E56201" w:rsidP="0030140B">
      <w:pPr>
        <w:spacing w:line="480" w:lineRule="auto"/>
        <w:rPr>
          <w:i/>
          <w:iCs/>
        </w:rPr>
      </w:pPr>
      <w:r w:rsidRPr="00B93EE6">
        <w:rPr>
          <w:i/>
          <w:iCs/>
        </w:rPr>
        <w:t>A</w:t>
      </w:r>
      <w:r w:rsidR="00C83DC5" w:rsidRPr="00B93EE6">
        <w:rPr>
          <w:i/>
          <w:iCs/>
        </w:rPr>
        <w:t>mplicon concentration measurement</w:t>
      </w:r>
    </w:p>
    <w:p w14:paraId="0F3156F5" w14:textId="72E7FB85" w:rsidR="007D166C" w:rsidRDefault="007D166C" w:rsidP="007D166C">
      <w:pPr>
        <w:spacing w:line="480" w:lineRule="auto"/>
        <w:ind w:firstLine="720"/>
      </w:pPr>
      <w:r w:rsidRPr="003A0402">
        <w:t xml:space="preserve">2 microliters of the amplicon </w:t>
      </w:r>
      <w:r w:rsidR="000D302A" w:rsidRPr="003A0402">
        <w:t>were</w:t>
      </w:r>
      <w:r w:rsidRPr="003A0402">
        <w:t xml:space="preserve"> placed on a nanodrop and a computer calculated the concentration of the </w:t>
      </w:r>
      <w:r w:rsidR="00AB3BB4">
        <w:t>amplicon</w:t>
      </w:r>
      <w:r w:rsidRPr="003A0402">
        <w:t>.</w:t>
      </w:r>
    </w:p>
    <w:p w14:paraId="757E0BFA" w14:textId="77777777" w:rsidR="002D36B9" w:rsidRDefault="002D36B9" w:rsidP="0030140B">
      <w:pPr>
        <w:spacing w:line="480" w:lineRule="auto"/>
      </w:pPr>
    </w:p>
    <w:p w14:paraId="79FEB6EC" w14:textId="512A46C1" w:rsidR="00414B14" w:rsidRPr="00DA269A" w:rsidRDefault="00E56201" w:rsidP="0030140B">
      <w:pPr>
        <w:spacing w:line="480" w:lineRule="auto"/>
        <w:rPr>
          <w:i/>
          <w:iCs/>
        </w:rPr>
      </w:pPr>
      <w:r w:rsidRPr="00DA269A">
        <w:rPr>
          <w:i/>
          <w:iCs/>
        </w:rPr>
        <w:t>S</w:t>
      </w:r>
      <w:r w:rsidR="00C83DC5" w:rsidRPr="00DA269A">
        <w:rPr>
          <w:i/>
          <w:iCs/>
        </w:rPr>
        <w:t>et-up of sequencing reactions</w:t>
      </w:r>
    </w:p>
    <w:p w14:paraId="5DE93320" w14:textId="5586AF57" w:rsidR="00B93EE6" w:rsidRDefault="007674BD" w:rsidP="00AB3BB4">
      <w:pPr>
        <w:spacing w:line="480" w:lineRule="auto"/>
        <w:ind w:firstLine="720"/>
      </w:pPr>
      <w:r>
        <w:t xml:space="preserve">Based on the concentration measurement of the amplicon, </w:t>
      </w:r>
      <w:r w:rsidR="00A30956">
        <w:t xml:space="preserve">15 milliliters of </w:t>
      </w:r>
      <w:r w:rsidR="00251CD1">
        <w:t xml:space="preserve">the amplicon </w:t>
      </w:r>
      <w:r w:rsidR="000D302A">
        <w:t>were</w:t>
      </w:r>
      <w:r w:rsidR="00251CD1">
        <w:t xml:space="preserve"> transferred into a sequencing reaction tube at a con</w:t>
      </w:r>
      <w:r w:rsidR="00E92183">
        <w:t xml:space="preserve">centration of 30 </w:t>
      </w:r>
      <w:r w:rsidR="003E7C53" w:rsidRPr="003A0402">
        <w:t>nanograms per microliter</w:t>
      </w:r>
      <w:r w:rsidR="00E92183">
        <w:t xml:space="preserve">. </w:t>
      </w:r>
      <w:r w:rsidR="00AB3BB4" w:rsidRPr="003A0402">
        <w:t xml:space="preserve">In order to dilute the purified amplicon to a concentration of 30 </w:t>
      </w:r>
      <w:r w:rsidR="003E7C53">
        <w:t>ng/</w:t>
      </w:r>
      <w:r w:rsidR="003E7C53" w:rsidRPr="006A5C34">
        <w:t>μl</w:t>
      </w:r>
      <w:r w:rsidR="00AB3BB4" w:rsidRPr="003A0402">
        <w:t>, the volume of purified amplicon necessary for the dilution was calculated by using the equation C</w:t>
      </w:r>
      <w:r w:rsidR="00AB3BB4" w:rsidRPr="001E1268">
        <w:rPr>
          <w:vertAlign w:val="subscript"/>
        </w:rPr>
        <w:t>1</w:t>
      </w:r>
      <w:r w:rsidR="00AB3BB4" w:rsidRPr="003A0402">
        <w:t>V</w:t>
      </w:r>
      <w:r w:rsidR="00AB3BB4" w:rsidRPr="001E1268">
        <w:rPr>
          <w:vertAlign w:val="subscript"/>
        </w:rPr>
        <w:t>1</w:t>
      </w:r>
      <w:r w:rsidR="00AB3BB4" w:rsidRPr="003A0402">
        <w:t>=C</w:t>
      </w:r>
      <w:r w:rsidR="00AB3BB4" w:rsidRPr="001E1268">
        <w:rPr>
          <w:vertAlign w:val="subscript"/>
        </w:rPr>
        <w:t>2</w:t>
      </w:r>
      <w:r w:rsidR="00AB3BB4" w:rsidRPr="003A0402">
        <w:t>V</w:t>
      </w:r>
      <w:r w:rsidR="00AB3BB4" w:rsidRPr="001E1268">
        <w:rPr>
          <w:vertAlign w:val="subscript"/>
        </w:rPr>
        <w:t>2</w:t>
      </w:r>
      <w:r w:rsidR="00AB3BB4" w:rsidRPr="003A0402">
        <w:t>.</w:t>
      </w:r>
    </w:p>
    <w:p w14:paraId="074EEEA9" w14:textId="77777777" w:rsidR="00B93EE6" w:rsidRDefault="00B93EE6" w:rsidP="0030140B">
      <w:pPr>
        <w:spacing w:line="480" w:lineRule="auto"/>
      </w:pPr>
    </w:p>
    <w:p w14:paraId="524E6D7E" w14:textId="164C6AA5" w:rsidR="00414B14" w:rsidRPr="00913F83" w:rsidRDefault="00C83DC5" w:rsidP="0030140B">
      <w:pPr>
        <w:spacing w:line="480" w:lineRule="auto"/>
        <w:rPr>
          <w:i/>
          <w:iCs/>
        </w:rPr>
      </w:pPr>
      <w:r w:rsidRPr="00913F83">
        <w:rPr>
          <w:i/>
          <w:iCs/>
        </w:rPr>
        <w:t>BLAST analysis of the amplicon</w:t>
      </w:r>
    </w:p>
    <w:p w14:paraId="0CA3EE99" w14:textId="71C43583" w:rsidR="00AB3BB4" w:rsidRDefault="00913F83" w:rsidP="00913F83">
      <w:pPr>
        <w:spacing w:line="480" w:lineRule="auto"/>
        <w:ind w:firstLine="720"/>
      </w:pPr>
      <w:r w:rsidRPr="00913F83">
        <w:t xml:space="preserve">The DNA sequence data from the F1 and R1 primer sequencing reactions were combined and the website http://doua.prabi.fr/software/cap3 was used on 9/23/20 in order to form the contig of the GFP gene. The website http://blast.ncbi.nlm.nih.gov/Blast.cgi was used on 9/23/20 </w:t>
      </w:r>
      <w:r w:rsidRPr="00913F83">
        <w:lastRenderedPageBreak/>
        <w:t xml:space="preserve">in order to analyze the contig through BLAST analysis and determine the gene that the contig encodes for. The alignment for the best match of the gene was collected from the BLAST results. </w:t>
      </w:r>
    </w:p>
    <w:p w14:paraId="451BFA17" w14:textId="77777777" w:rsidR="00AB3BB4" w:rsidRDefault="00AB3BB4" w:rsidP="0030140B">
      <w:pPr>
        <w:spacing w:line="480" w:lineRule="auto"/>
      </w:pPr>
    </w:p>
    <w:p w14:paraId="32F345C9" w14:textId="2F3E4591" w:rsidR="00414B14" w:rsidRPr="00D656FA" w:rsidRDefault="00E56201" w:rsidP="0030140B">
      <w:pPr>
        <w:spacing w:line="480" w:lineRule="auto"/>
        <w:rPr>
          <w:i/>
          <w:iCs/>
        </w:rPr>
      </w:pPr>
      <w:r w:rsidRPr="00D656FA">
        <w:rPr>
          <w:i/>
          <w:iCs/>
        </w:rPr>
        <w:t>C</w:t>
      </w:r>
      <w:r w:rsidR="00C83DC5" w:rsidRPr="00D656FA">
        <w:rPr>
          <w:i/>
          <w:iCs/>
        </w:rPr>
        <w:t>reation of the SnapGene viewer pGLO map</w:t>
      </w:r>
    </w:p>
    <w:p w14:paraId="0B0CE679" w14:textId="3E111607" w:rsidR="00D656FA" w:rsidRDefault="00EF1771" w:rsidP="00EF1771">
      <w:pPr>
        <w:spacing w:line="480" w:lineRule="auto"/>
        <w:ind w:firstLine="720"/>
      </w:pPr>
      <w:r w:rsidRPr="00EF1771">
        <w:t>The pGLO sequence was copied and pasted into the SnapGene viewer program with the “circular” option selected. On the “Detect Common Features” window, three protein-coding genes, the ori sequences, and the promoters for the arabinose were selected to be analyzed. On the window with the circular DNA, all enzymes were removed and primers were added by adding the primer sequences from the PCR reaction in the Week 2 lab. A complete map of the pGLO plasmid was produced. Finally, the araC gene sequence, the bla gene sequence, and the ori sequence were analyzed through BLAST analysis in order to prove that they were the actual genes.</w:t>
      </w:r>
    </w:p>
    <w:p w14:paraId="3086E715" w14:textId="77777777" w:rsidR="00EF1771" w:rsidRDefault="00EF1771" w:rsidP="00EF1771">
      <w:pPr>
        <w:spacing w:line="480" w:lineRule="auto"/>
        <w:ind w:firstLine="720"/>
      </w:pPr>
    </w:p>
    <w:p w14:paraId="684DA41F" w14:textId="49885379" w:rsidR="00414B14" w:rsidRPr="005C13C7" w:rsidRDefault="00E56201" w:rsidP="0030140B">
      <w:pPr>
        <w:spacing w:line="480" w:lineRule="auto"/>
        <w:rPr>
          <w:i/>
          <w:iCs/>
        </w:rPr>
      </w:pPr>
      <w:r w:rsidRPr="005C13C7">
        <w:rPr>
          <w:i/>
          <w:iCs/>
        </w:rPr>
        <w:t>T</w:t>
      </w:r>
      <w:r w:rsidR="00C83DC5" w:rsidRPr="005C13C7">
        <w:rPr>
          <w:i/>
          <w:iCs/>
        </w:rPr>
        <w:t>ransformation of the pGLO plasmid into E. coli</w:t>
      </w:r>
    </w:p>
    <w:p w14:paraId="0DF731A3" w14:textId="0806A004" w:rsidR="00081505" w:rsidRDefault="005C13C7" w:rsidP="005C13C7">
      <w:pPr>
        <w:spacing w:line="480" w:lineRule="auto"/>
        <w:ind w:firstLine="720"/>
      </w:pPr>
      <w:r w:rsidRPr="005C13C7">
        <w:t xml:space="preserve">Calcium chloride transformation solution was added to two microtubes labelled +pGLO and -pGLO. </w:t>
      </w:r>
      <w:r w:rsidRPr="005C13C7">
        <w:rPr>
          <w:i/>
          <w:iCs/>
        </w:rPr>
        <w:t>E. coli</w:t>
      </w:r>
      <w:r w:rsidRPr="005C13C7">
        <w:t xml:space="preserve"> cells were added to each microtube, pGLO plasmid was added to the +pGLO microtube, additional calcium chloride solution was added to the -pGLO microtube, and the microtubes were placed in ice for 10 minutes. 4 agar plates were labelled and classified based on their contents. The microtubes were placed in a 42</w:t>
      </w:r>
      <w:r w:rsidR="00F22F23" w:rsidRPr="00375A3E">
        <w:t>°</w:t>
      </w:r>
      <w:r w:rsidR="00F22F23">
        <w:t>C</w:t>
      </w:r>
      <w:r w:rsidRPr="005C13C7">
        <w:t xml:space="preserve"> water bath for 50 seconds, then 250 microliters of LB nutrient solution was added to each micropipette, and then the micropipettes were placed in a 37</w:t>
      </w:r>
      <w:r w:rsidR="00F22F23" w:rsidRPr="00375A3E">
        <w:t>°</w:t>
      </w:r>
      <w:r w:rsidR="00F22F23">
        <w:t>C</w:t>
      </w:r>
      <w:r w:rsidRPr="005C13C7">
        <w:t xml:space="preserve"> water bath for 10 minutes. 200 microliters of the +pGLO and -pGLO solution was pipetted and spread on their appropriate agar plates. Finally, the plates were taped together and stack</w:t>
      </w:r>
      <w:r w:rsidR="003A1CDA">
        <w:t>ed</w:t>
      </w:r>
      <w:r w:rsidRPr="005C13C7">
        <w:t xml:space="preserve"> upside down in a 37</w:t>
      </w:r>
      <w:r w:rsidR="00F22F23" w:rsidRPr="00375A3E">
        <w:t>°</w:t>
      </w:r>
      <w:r w:rsidR="00F22F23">
        <w:t>C</w:t>
      </w:r>
      <w:r w:rsidRPr="005C13C7">
        <w:t xml:space="preserve"> incubator</w:t>
      </w:r>
      <w:r w:rsidR="003A1CDA">
        <w:t xml:space="preserve"> overnight</w:t>
      </w:r>
      <w:r w:rsidRPr="005C13C7">
        <w:t>.</w:t>
      </w:r>
    </w:p>
    <w:p w14:paraId="7E396165" w14:textId="77777777" w:rsidR="00081505" w:rsidRPr="00081505" w:rsidRDefault="00081505" w:rsidP="0030140B">
      <w:pPr>
        <w:spacing w:line="480" w:lineRule="auto"/>
      </w:pPr>
    </w:p>
    <w:p w14:paraId="79C56359" w14:textId="7A5A51BB" w:rsidR="00325E6E" w:rsidRPr="008429A8" w:rsidRDefault="00C83DC5" w:rsidP="0030140B">
      <w:pPr>
        <w:spacing w:line="480" w:lineRule="auto"/>
        <w:rPr>
          <w:i/>
          <w:iCs/>
        </w:rPr>
      </w:pPr>
      <w:r w:rsidRPr="008429A8">
        <w:rPr>
          <w:i/>
          <w:iCs/>
        </w:rPr>
        <w:t>GFP regulation by sugars</w:t>
      </w:r>
    </w:p>
    <w:p w14:paraId="75FE5E74" w14:textId="75E219EC" w:rsidR="00081505" w:rsidRDefault="00776A6C" w:rsidP="00776A6C">
      <w:pPr>
        <w:spacing w:line="480" w:lineRule="auto"/>
        <w:ind w:firstLine="720"/>
      </w:pPr>
      <w:r w:rsidRPr="0017414D">
        <w:rPr>
          <w:i/>
          <w:iCs/>
        </w:rPr>
        <w:t>E. coli</w:t>
      </w:r>
      <w:r w:rsidRPr="00776A6C">
        <w:t xml:space="preserve"> from the week 7 lab was used since the bacteria was transformed with the pGLO plasmid. Four plates and four microcentrifuge tubes were labelled “pGLO”, “pGLO+ARA”, “pGLO+GLU”, and “pGLO+ARA+GLU”. 100 μl of </w:t>
      </w:r>
      <w:r w:rsidRPr="0017414D">
        <w:rPr>
          <w:i/>
          <w:iCs/>
        </w:rPr>
        <w:t>E. coli</w:t>
      </w:r>
      <w:r w:rsidRPr="00776A6C">
        <w:t xml:space="preserve"> cells and 150 μl of water were added to the “pGLO” tube. 100 μl of cells, 100 μl of water, and 50 μl of arabinose were added to the “pGLO+ARA” tube. 100 μl of cells, 50 μl of water, and 100 μl of glucose were added to the “pGLO+GLU” tube. </w:t>
      </w:r>
      <w:r w:rsidR="007851EB">
        <w:t>One hundred</w:t>
      </w:r>
      <w:r w:rsidRPr="00776A6C">
        <w:t xml:space="preserve"> μl of cells, 50 μl of arabinose, and 100 μl of glucose were added to the “pGLO+ARA+GLU” tube. The four mixtures were put on their respective plates and a sterile loop was used to spread the mixture on the entire surface of the plate. The four plates were taped together and placed upside down in a incubator at 37 degrees Celsius overnight.</w:t>
      </w:r>
    </w:p>
    <w:p w14:paraId="30379A97" w14:textId="77777777" w:rsidR="008429A8" w:rsidRPr="00325E6E" w:rsidRDefault="008429A8" w:rsidP="0030140B">
      <w:pPr>
        <w:spacing w:line="480" w:lineRule="auto"/>
      </w:pPr>
    </w:p>
    <w:p w14:paraId="259B29EE" w14:textId="3B472756" w:rsidR="0099730E" w:rsidRPr="003853F3" w:rsidRDefault="003853F3" w:rsidP="0030140B">
      <w:pPr>
        <w:spacing w:line="480" w:lineRule="auto"/>
        <w:rPr>
          <w:b/>
          <w:bCs/>
        </w:rPr>
      </w:pPr>
      <w:r w:rsidRPr="003853F3">
        <w:rPr>
          <w:b/>
          <w:bCs/>
        </w:rPr>
        <w:t>RESULTS</w:t>
      </w:r>
    </w:p>
    <w:p w14:paraId="1E15DC9D" w14:textId="54493622" w:rsidR="002E409F" w:rsidRDefault="0082752A" w:rsidP="002E409F">
      <w:pPr>
        <w:spacing w:line="480" w:lineRule="auto"/>
        <w:ind w:firstLine="720"/>
      </w:pPr>
      <w:r>
        <w:t>The research project</w:t>
      </w:r>
      <w:r w:rsidR="00156424">
        <w:t xml:space="preserve"> started by</w:t>
      </w:r>
      <w:r>
        <w:t xml:space="preserve"> DNA amplification through a Polymerase Chain Reaction (PCR).</w:t>
      </w:r>
      <w:r w:rsidR="00E7394B">
        <w:t xml:space="preserve"> The</w:t>
      </w:r>
      <w:r>
        <w:t xml:space="preserve"> DNA products from the PCR reaction were visualized through Agarose Gel Electrophoresis</w:t>
      </w:r>
      <w:r w:rsidR="00A24465">
        <w:t xml:space="preserve">. </w:t>
      </w:r>
      <w:r w:rsidR="0007732D">
        <w:t xml:space="preserve">The results </w:t>
      </w:r>
      <w:r w:rsidR="001B56B7">
        <w:t xml:space="preserve">shown in </w:t>
      </w:r>
      <w:r w:rsidR="00B179D8">
        <w:t>F</w:t>
      </w:r>
      <w:r w:rsidR="001B56B7">
        <w:t xml:space="preserve">igure </w:t>
      </w:r>
      <w:r w:rsidR="005A147E">
        <w:t xml:space="preserve">1 </w:t>
      </w:r>
      <w:r w:rsidR="001B56B7">
        <w:t xml:space="preserve">of </w:t>
      </w:r>
      <w:r w:rsidR="00003ACE" w:rsidRPr="00003ACE">
        <w:t>the gel show the positions for the DNA sample of the PCR reaction</w:t>
      </w:r>
      <w:r w:rsidR="00D75CFF">
        <w:t xml:space="preserve"> (Sample #11)</w:t>
      </w:r>
      <w:r w:rsidR="00003ACE" w:rsidRPr="00003ACE">
        <w:t xml:space="preserve">, the positive control, </w:t>
      </w:r>
      <w:r w:rsidR="00F3151C">
        <w:t xml:space="preserve">the negative control, </w:t>
      </w:r>
      <w:r w:rsidR="00003ACE" w:rsidRPr="00003ACE">
        <w:t>and the DNA ladder along with</w:t>
      </w:r>
      <w:r w:rsidR="00F3151C">
        <w:t xml:space="preserve"> </w:t>
      </w:r>
      <w:r w:rsidR="00003ACE" w:rsidRPr="00003ACE">
        <w:t>the DNA samples of other students</w:t>
      </w:r>
      <w:r w:rsidR="00F3151C">
        <w:t xml:space="preserve"> </w:t>
      </w:r>
      <w:r w:rsidR="00003ACE" w:rsidRPr="00003ACE">
        <w:t xml:space="preserve">and the empty wells. </w:t>
      </w:r>
      <w:r w:rsidR="001625AF">
        <w:t>Sample</w:t>
      </w:r>
      <w:r w:rsidR="00003ACE" w:rsidRPr="00003ACE">
        <w:t xml:space="preserve"> #11 lined up with the 1000 bp mark on the DNA ladder</w:t>
      </w:r>
      <w:r w:rsidR="00486239">
        <w:t xml:space="preserve"> which s</w:t>
      </w:r>
      <w:r w:rsidR="00EA6427">
        <w:t>uggests</w:t>
      </w:r>
      <w:r w:rsidR="00486239">
        <w:t xml:space="preserve"> that the </w:t>
      </w:r>
      <w:r w:rsidR="00E95E01">
        <w:t>DNA from the PCR reaction was</w:t>
      </w:r>
      <w:r w:rsidR="00003ACE" w:rsidRPr="00003ACE">
        <w:t xml:space="preserve"> 1000 bp in length.</w:t>
      </w:r>
    </w:p>
    <w:p w14:paraId="7ADDA822" w14:textId="77777777" w:rsidR="00EA6427" w:rsidRDefault="002E409F" w:rsidP="001F5EC0">
      <w:pPr>
        <w:spacing w:line="480" w:lineRule="auto"/>
        <w:ind w:firstLine="720"/>
      </w:pPr>
      <w:r>
        <w:lastRenderedPageBreak/>
        <w:t>T</w:t>
      </w:r>
      <w:r w:rsidR="0082752A">
        <w:t>he amplicon (PCR product) was purified and the concentration of the DNA was measured.</w:t>
      </w:r>
      <w:r w:rsidR="00D2443B">
        <w:t xml:space="preserve"> </w:t>
      </w:r>
      <w:r w:rsidR="00E16F78">
        <w:t>Figure 2 shows that t</w:t>
      </w:r>
      <w:r w:rsidR="00394A2A" w:rsidRPr="00394A2A">
        <w:t>he concentration of the amplicon was 44.4 nanograms per microliter, the A260 value was 0.887, and the A260/A280 value was 1.96.</w:t>
      </w:r>
    </w:p>
    <w:p w14:paraId="568EBE11" w14:textId="0E6A49D3" w:rsidR="001F5EC0" w:rsidRDefault="00EC4B31" w:rsidP="000600B8">
      <w:pPr>
        <w:spacing w:line="480" w:lineRule="auto"/>
        <w:ind w:firstLine="720"/>
      </w:pPr>
      <w:r>
        <w:t xml:space="preserve">For the sequencing experiment of the research </w:t>
      </w:r>
      <w:r w:rsidR="00395B31">
        <w:t xml:space="preserve">project, 15 milliliters of the purified amplicon </w:t>
      </w:r>
      <w:r w:rsidR="00C61B86">
        <w:t xml:space="preserve">at a concentration of 30 </w:t>
      </w:r>
      <w:r w:rsidR="009025BB">
        <w:t xml:space="preserve">nanograms per microliter </w:t>
      </w:r>
      <w:r w:rsidR="00395B31">
        <w:t xml:space="preserve">were required. </w:t>
      </w:r>
      <w:r w:rsidR="00BD0E9A">
        <w:t>T</w:t>
      </w:r>
      <w:r w:rsidR="00C81CA6">
        <w:t xml:space="preserve">he equation </w:t>
      </w:r>
      <w:r w:rsidR="004C1AD9" w:rsidRPr="004C1AD9">
        <w:t>C</w:t>
      </w:r>
      <w:r w:rsidR="004C1AD9">
        <w:rPr>
          <w:vertAlign w:val="subscript"/>
        </w:rPr>
        <w:t>1</w:t>
      </w:r>
      <w:r w:rsidR="004C1AD9" w:rsidRPr="004C1AD9">
        <w:t>V</w:t>
      </w:r>
      <w:r w:rsidR="004C1AD9">
        <w:rPr>
          <w:vertAlign w:val="subscript"/>
        </w:rPr>
        <w:t>1</w:t>
      </w:r>
      <w:r w:rsidR="004C1AD9" w:rsidRPr="004C1AD9">
        <w:t>=C</w:t>
      </w:r>
      <w:r w:rsidR="004C1AD9">
        <w:rPr>
          <w:vertAlign w:val="subscript"/>
        </w:rPr>
        <w:t>2</w:t>
      </w:r>
      <w:r w:rsidR="004C1AD9" w:rsidRPr="004C1AD9">
        <w:t>V</w:t>
      </w:r>
      <w:r w:rsidR="004C1AD9">
        <w:rPr>
          <w:vertAlign w:val="subscript"/>
        </w:rPr>
        <w:t>2</w:t>
      </w:r>
      <w:r w:rsidR="00DE5145">
        <w:t xml:space="preserve"> </w:t>
      </w:r>
      <w:r w:rsidR="00BD0E9A">
        <w:t xml:space="preserve">was used </w:t>
      </w:r>
      <w:r w:rsidR="00DE5145">
        <w:t>to calculate the amount of purified amplicon to use</w:t>
      </w:r>
      <w:r w:rsidR="00BD0E9A">
        <w:t xml:space="preserve">, as shown in Figure 3. </w:t>
      </w:r>
      <w:r w:rsidR="00F219E3">
        <w:t>After calculating,</w:t>
      </w:r>
      <w:r w:rsidR="003623AF">
        <w:t xml:space="preserve"> </w:t>
      </w:r>
      <w:r w:rsidR="003105B3">
        <w:t>10.14 microliters</w:t>
      </w:r>
      <w:r w:rsidR="00DE5145">
        <w:t xml:space="preserve"> of the purified amplicon</w:t>
      </w:r>
      <w:r w:rsidR="003105B3">
        <w:t xml:space="preserve"> and 4.86 microliters of water w</w:t>
      </w:r>
      <w:r w:rsidR="00DE5145">
        <w:t xml:space="preserve">ere </w:t>
      </w:r>
      <w:r w:rsidR="000077F2">
        <w:t xml:space="preserve">mixed together to form the </w:t>
      </w:r>
      <w:r w:rsidR="00B46210">
        <w:t>mixture for the sequencing experiment</w:t>
      </w:r>
      <w:r w:rsidR="00EF7CA1">
        <w:t>.</w:t>
      </w:r>
      <w:r w:rsidR="000600B8">
        <w:t xml:space="preserve"> </w:t>
      </w:r>
      <w:r w:rsidR="003C674E">
        <w:t>T</w:t>
      </w:r>
      <w:r w:rsidR="0082752A">
        <w:t xml:space="preserve">he purified </w:t>
      </w:r>
      <w:r w:rsidR="00EC37E5">
        <w:t xml:space="preserve">PCR </w:t>
      </w:r>
      <w:r w:rsidR="0082752A">
        <w:t xml:space="preserve">amplicon was </w:t>
      </w:r>
      <w:r w:rsidR="00EC37E5">
        <w:t>sequenced</w:t>
      </w:r>
      <w:r w:rsidR="0082752A">
        <w:t xml:space="preserve"> and </w:t>
      </w:r>
      <w:r w:rsidR="00274A82">
        <w:t xml:space="preserve">converted into a </w:t>
      </w:r>
      <w:r w:rsidR="000600B8">
        <w:t>chromatogram as shown in Figure 4</w:t>
      </w:r>
      <w:r w:rsidR="0082752A">
        <w:t>.</w:t>
      </w:r>
      <w:r w:rsidR="00C839FE">
        <w:t xml:space="preserve"> </w:t>
      </w:r>
      <w:r w:rsidR="005946C1">
        <w:t>Figure 5 shows the</w:t>
      </w:r>
      <w:r w:rsidR="006A3D64">
        <w:t xml:space="preserve"> FASTA sequence of the contig of the pGLO plasmid </w:t>
      </w:r>
      <w:r w:rsidR="005946C1">
        <w:t xml:space="preserve">that </w:t>
      </w:r>
      <w:r w:rsidR="006A3D64">
        <w:t>was also created from the sequencing data</w:t>
      </w:r>
      <w:r w:rsidR="005946C1">
        <w:t>.</w:t>
      </w:r>
    </w:p>
    <w:p w14:paraId="678C269F" w14:textId="145C7E36" w:rsidR="0099730E" w:rsidRDefault="008F6C9F" w:rsidP="009707F6">
      <w:pPr>
        <w:spacing w:line="480" w:lineRule="auto"/>
        <w:ind w:firstLine="720"/>
      </w:pPr>
      <w:r>
        <w:t>The contig of the PCR amplicon was analyzed through BLAST analysis</w:t>
      </w:r>
      <w:r w:rsidR="00DD76FB">
        <w:t xml:space="preserve"> and t</w:t>
      </w:r>
      <w:r w:rsidR="007A7D04">
        <w:t xml:space="preserve">he top hits from the BLAST analysis are shown in Figure 6. </w:t>
      </w:r>
      <w:r w:rsidR="00307FD7">
        <w:t xml:space="preserve">Figure 7 shows the alignment of the GFP gene which was found </w:t>
      </w:r>
      <w:r w:rsidR="00B264F5">
        <w:t xml:space="preserve">by finding the BLAST analysis result with the lowest </w:t>
      </w:r>
      <w:r w:rsidR="00DB50A4">
        <w:t>e-value.</w:t>
      </w:r>
      <w:r w:rsidR="009707F6">
        <w:t xml:space="preserve"> </w:t>
      </w:r>
      <w:r w:rsidR="008B105A">
        <w:t xml:space="preserve">The map of the pGLO plasmid produced </w:t>
      </w:r>
      <w:r w:rsidR="007C294D">
        <w:t xml:space="preserve">through the SnapGene Viewer </w:t>
      </w:r>
      <w:r w:rsidR="008B105A">
        <w:t>is shown in Figure 8.</w:t>
      </w:r>
      <w:r w:rsidR="00470915">
        <w:t xml:space="preserve"> </w:t>
      </w:r>
      <w:r w:rsidR="002D65D8">
        <w:t>The locations of the</w:t>
      </w:r>
      <w:r w:rsidR="00625157">
        <w:t xml:space="preserve"> </w:t>
      </w:r>
      <w:r w:rsidR="002D65D8">
        <w:t>GFP gene, the forward and reverse primer</w:t>
      </w:r>
      <w:r w:rsidR="001A5CF9">
        <w:t xml:space="preserve">s, </w:t>
      </w:r>
      <w:r w:rsidR="008151B6">
        <w:t>the promoters, and the ori sequences are shown on the map.</w:t>
      </w:r>
    </w:p>
    <w:p w14:paraId="707860DB" w14:textId="40A3B2CF" w:rsidR="00B20F02" w:rsidRDefault="00B20F02" w:rsidP="0030140B">
      <w:pPr>
        <w:spacing w:line="480" w:lineRule="auto"/>
      </w:pPr>
      <w:r>
        <w:tab/>
        <w:t xml:space="preserve">Figure 9 shows the results of the </w:t>
      </w:r>
      <w:r w:rsidR="006253F6">
        <w:t xml:space="preserve">pGLO plasmid </w:t>
      </w:r>
      <w:r>
        <w:t xml:space="preserve">transformation </w:t>
      </w:r>
      <w:r w:rsidR="006253F6">
        <w:t xml:space="preserve">into </w:t>
      </w:r>
      <w:r w:rsidR="006253F6" w:rsidRPr="006253F6">
        <w:rPr>
          <w:i/>
          <w:iCs/>
        </w:rPr>
        <w:t>E. coli</w:t>
      </w:r>
      <w:r w:rsidR="006253F6">
        <w:t xml:space="preserve"> bacteria. </w:t>
      </w:r>
      <w:r w:rsidR="002B5742">
        <w:t>Figure 9 shows</w:t>
      </w:r>
      <w:r w:rsidR="005E2247">
        <w:t xml:space="preserve"> that</w:t>
      </w:r>
      <w:r w:rsidR="002B5742">
        <w:t xml:space="preserve"> the plates with </w:t>
      </w:r>
      <w:r w:rsidR="002B5742" w:rsidRPr="002B5742">
        <w:rPr>
          <w:i/>
          <w:iCs/>
        </w:rPr>
        <w:t xml:space="preserve">E. coli </w:t>
      </w:r>
      <w:r w:rsidR="002B5742">
        <w:t xml:space="preserve">cells </w:t>
      </w:r>
      <w:r w:rsidR="000A721B">
        <w:t xml:space="preserve">and the pGLO plasmid </w:t>
      </w:r>
      <w:r w:rsidR="005E2247">
        <w:t>glowed under UV light compared to the plates with E. coli cells but without the pGLO plasmid</w:t>
      </w:r>
      <w:r w:rsidR="007D0E23">
        <w:t xml:space="preserve">. </w:t>
      </w:r>
      <w:r w:rsidR="00FE33D1">
        <w:t xml:space="preserve">Table 1 </w:t>
      </w:r>
      <w:r w:rsidR="000A16C1">
        <w:t>shows that the</w:t>
      </w:r>
      <w:r w:rsidR="00FE0101">
        <w:t xml:space="preserve"> </w:t>
      </w:r>
      <w:r w:rsidR="0097578F">
        <w:t xml:space="preserve"> </w:t>
      </w:r>
      <w:r w:rsidR="00FE0101">
        <w:rPr>
          <w:color w:val="000000"/>
        </w:rPr>
        <w:t>+pGLO (LB/amp)</w:t>
      </w:r>
      <w:r w:rsidR="00FE0101">
        <w:rPr>
          <w:color w:val="000000"/>
        </w:rPr>
        <w:t xml:space="preserve"> plate grew 5 cells and the </w:t>
      </w:r>
      <w:r w:rsidR="003B0FF2">
        <w:rPr>
          <w:color w:val="000000"/>
        </w:rPr>
        <w:t>+pGLO (LB/ara/amp)</w:t>
      </w:r>
      <w:r w:rsidR="003B0FF2">
        <w:rPr>
          <w:color w:val="000000"/>
        </w:rPr>
        <w:t xml:space="preserve"> grew 4 cells. Table 2 shows that </w:t>
      </w:r>
      <w:r w:rsidR="00095032">
        <w:rPr>
          <w:color w:val="000000"/>
        </w:rPr>
        <w:t xml:space="preserve">the </w:t>
      </w:r>
      <w:r w:rsidR="00095032">
        <w:rPr>
          <w:color w:val="000000"/>
        </w:rPr>
        <w:t>pGLO+ara</w:t>
      </w:r>
      <w:r w:rsidR="00095032">
        <w:rPr>
          <w:color w:val="000000"/>
        </w:rPr>
        <w:t xml:space="preserve"> plate had the highest relative brightness while the </w:t>
      </w:r>
      <w:r w:rsidR="00095032">
        <w:rPr>
          <w:color w:val="000000"/>
        </w:rPr>
        <w:t>pGLO+ara+glu</w:t>
      </w:r>
      <w:r w:rsidR="00095032">
        <w:rPr>
          <w:color w:val="000000"/>
        </w:rPr>
        <w:t xml:space="preserve"> plate showed low/medium brightness and the other two plates showed no brightness.</w:t>
      </w:r>
    </w:p>
    <w:p w14:paraId="55E4670C" w14:textId="2EBF662A" w:rsidR="00E607CF" w:rsidRPr="003853F3" w:rsidRDefault="003853F3" w:rsidP="0030140B">
      <w:pPr>
        <w:spacing w:line="480" w:lineRule="auto"/>
        <w:rPr>
          <w:b/>
          <w:bCs/>
        </w:rPr>
      </w:pPr>
      <w:r w:rsidRPr="003853F3">
        <w:rPr>
          <w:b/>
          <w:bCs/>
        </w:rPr>
        <w:lastRenderedPageBreak/>
        <w:t>DISCUSSION</w:t>
      </w:r>
    </w:p>
    <w:p w14:paraId="721295AA" w14:textId="1FB6F966" w:rsidR="003853F3" w:rsidRDefault="003853F3" w:rsidP="003C674E">
      <w:pPr>
        <w:spacing w:line="480" w:lineRule="auto"/>
        <w:ind w:firstLine="720"/>
      </w:pPr>
      <w:r>
        <w:t>The research question of this project was to determine whether the GFP gene from a pGLO plasmid could be expressed in bacteria. The hypothesis was that the GFP gene could be expressed in bacteria. The results from the experiment supported this hypothesis</w:t>
      </w:r>
      <w:r w:rsidR="006D4BA8">
        <w:t xml:space="preserve">. Figures 1, 2, and 3 demonstrate that the experiments in our research project were successful and that our hypothesis was supported. Our findings resemble those of the study of </w:t>
      </w:r>
      <w:r w:rsidR="006D4BA8" w:rsidRPr="00807716">
        <w:t>Niedenthal</w:t>
      </w:r>
      <w:r w:rsidR="006D4BA8">
        <w:t xml:space="preserve"> et al. (1996)</w:t>
      </w:r>
      <w:r w:rsidR="00DB202D">
        <w:t xml:space="preserve"> and similar materials and methods were used in our research and also in Niedenthal et al.’s research. A pitfall of the research project was that the entire project occurred in individual experiments broken up over many labs which may have lead to more opportunities for contamination and errors. An alternative approach would be to conduct this research project over the course of a few consecutive days rather than over a few weeks. The findings of this research project are significant because they could potentially be applied in several ways in multiple fields. For example, research from Heim et al. (1994) indicates that the GFP gene is useful in visualizing gene expression and protein localization as well as in measuring protein association. A possible future study on the GFP gene could be to </w:t>
      </w:r>
      <w:r w:rsidR="005D0ABD">
        <w:t>measure the differences in behavior between different cell types such as muscle cells, neurons, etc.</w:t>
      </w:r>
    </w:p>
    <w:p w14:paraId="498A7CEB" w14:textId="77777777" w:rsidR="005D0ABD" w:rsidRDefault="005D0ABD" w:rsidP="0030140B">
      <w:pPr>
        <w:spacing w:line="480" w:lineRule="auto"/>
      </w:pPr>
    </w:p>
    <w:p w14:paraId="20079492" w14:textId="362A885A" w:rsidR="003853F3" w:rsidRPr="003853F3" w:rsidRDefault="003853F3" w:rsidP="0030140B">
      <w:pPr>
        <w:spacing w:line="480" w:lineRule="auto"/>
        <w:rPr>
          <w:b/>
          <w:bCs/>
        </w:rPr>
      </w:pPr>
      <w:r w:rsidRPr="003853F3">
        <w:rPr>
          <w:b/>
          <w:bCs/>
        </w:rPr>
        <w:t>FIGURES AND TABLES</w:t>
      </w:r>
    </w:p>
    <w:p w14:paraId="77258926" w14:textId="5A6F1A13" w:rsidR="003853F3" w:rsidRDefault="006C39E3" w:rsidP="0030140B">
      <w:pPr>
        <w:spacing w:line="480" w:lineRule="auto"/>
      </w:pPr>
      <w:r>
        <w:rPr>
          <w:noProof/>
        </w:rPr>
        <w:lastRenderedPageBreak/>
        <w:drawing>
          <wp:inline distT="0" distB="0" distL="0" distR="0" wp14:anchorId="734840EA" wp14:editId="3604CCDC">
            <wp:extent cx="4912179" cy="3680460"/>
            <wp:effectExtent l="0" t="0" r="3175"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922613" cy="3688278"/>
                    </a:xfrm>
                    <a:prstGeom prst="rect">
                      <a:avLst/>
                    </a:prstGeom>
                  </pic:spPr>
                </pic:pic>
              </a:graphicData>
            </a:graphic>
          </wp:inline>
        </w:drawing>
      </w:r>
    </w:p>
    <w:p w14:paraId="0D220266" w14:textId="656713C6" w:rsidR="001536E5" w:rsidRDefault="00AC7182" w:rsidP="0030140B">
      <w:pPr>
        <w:spacing w:line="480" w:lineRule="auto"/>
      </w:pPr>
      <w:r w:rsidRPr="007B6908">
        <w:rPr>
          <w:b/>
          <w:bCs/>
        </w:rPr>
        <w:t>Figure 1</w:t>
      </w:r>
      <w:r>
        <w:t xml:space="preserve">. </w:t>
      </w:r>
      <w:r w:rsidR="003137E3">
        <w:t xml:space="preserve">Figure of the purified PCR amplicon after </w:t>
      </w:r>
      <w:r w:rsidR="006B3DE1">
        <w:t>going through gel electrophoresis.</w:t>
      </w:r>
    </w:p>
    <w:p w14:paraId="3E6E7E61" w14:textId="77777777" w:rsidR="00944118" w:rsidRDefault="00944118" w:rsidP="0030140B">
      <w:pPr>
        <w:spacing w:line="480" w:lineRule="auto"/>
      </w:pPr>
    </w:p>
    <w:p w14:paraId="3DF55F17" w14:textId="60D24EC6" w:rsidR="0024654C" w:rsidRDefault="009B1519" w:rsidP="0030140B">
      <w:pPr>
        <w:spacing w:line="480" w:lineRule="auto"/>
      </w:pPr>
      <w:r>
        <w:t> </w:t>
      </w:r>
      <w:r>
        <w:rPr>
          <w:noProof/>
        </w:rPr>
        <w:drawing>
          <wp:inline distT="0" distB="0" distL="0" distR="0" wp14:anchorId="0A919EE1" wp14:editId="0966FC81">
            <wp:extent cx="4217353" cy="3101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2162" cy="3126937"/>
                    </a:xfrm>
                    <a:prstGeom prst="rect">
                      <a:avLst/>
                    </a:prstGeom>
                    <a:noFill/>
                    <a:ln>
                      <a:noFill/>
                    </a:ln>
                  </pic:spPr>
                </pic:pic>
              </a:graphicData>
            </a:graphic>
          </wp:inline>
        </w:drawing>
      </w:r>
    </w:p>
    <w:p w14:paraId="7F24FB89" w14:textId="03046A66" w:rsidR="009B1519" w:rsidRDefault="009B1519" w:rsidP="0030140B">
      <w:pPr>
        <w:spacing w:line="480" w:lineRule="auto"/>
      </w:pPr>
      <w:r w:rsidRPr="009B1519">
        <w:rPr>
          <w:b/>
          <w:bCs/>
        </w:rPr>
        <w:t>Figure 2</w:t>
      </w:r>
      <w:r w:rsidRPr="009B1519">
        <w:t>. The amplicon concentration was measured to be 44.4 ng/μL.​</w:t>
      </w:r>
    </w:p>
    <w:p w14:paraId="7D76FAF3" w14:textId="77777777" w:rsidR="0090288E" w:rsidRPr="00B10FBC" w:rsidRDefault="0090288E" w:rsidP="0090288E">
      <w:pPr>
        <w:spacing w:line="480" w:lineRule="auto"/>
        <w:rPr>
          <w:i/>
          <w:iCs/>
        </w:rPr>
      </w:pPr>
      <w:r w:rsidRPr="00B10FBC">
        <w:rPr>
          <w:i/>
          <w:iCs/>
        </w:rPr>
        <w:lastRenderedPageBreak/>
        <w:t>C1V1=C2V2​</w:t>
      </w:r>
    </w:p>
    <w:p w14:paraId="5886452C" w14:textId="77777777" w:rsidR="0090288E" w:rsidRPr="00B10FBC" w:rsidRDefault="0090288E" w:rsidP="0090288E">
      <w:pPr>
        <w:spacing w:line="480" w:lineRule="auto"/>
        <w:rPr>
          <w:i/>
          <w:iCs/>
        </w:rPr>
      </w:pPr>
      <w:r w:rsidRPr="00B10FBC">
        <w:rPr>
          <w:i/>
          <w:iCs/>
        </w:rPr>
        <w:t>(44.4)V1=(30 ng/ul)(15 ul)​</w:t>
      </w:r>
    </w:p>
    <w:p w14:paraId="32187D6E" w14:textId="77777777" w:rsidR="0090288E" w:rsidRPr="00B10FBC" w:rsidRDefault="0090288E" w:rsidP="0090288E">
      <w:pPr>
        <w:spacing w:line="480" w:lineRule="auto"/>
        <w:rPr>
          <w:i/>
          <w:iCs/>
        </w:rPr>
      </w:pPr>
      <w:r w:rsidRPr="00B10FBC">
        <w:rPr>
          <w:i/>
          <w:iCs/>
        </w:rPr>
        <w:t>V1= 10.14 microliters​</w:t>
      </w:r>
    </w:p>
    <w:p w14:paraId="7090B3A2" w14:textId="77777777" w:rsidR="0090288E" w:rsidRPr="0090288E" w:rsidRDefault="0090288E" w:rsidP="0090288E">
      <w:pPr>
        <w:spacing w:line="480" w:lineRule="auto"/>
      </w:pPr>
      <w:r w:rsidRPr="0090288E">
        <w:rPr>
          <w:b/>
          <w:bCs/>
        </w:rPr>
        <w:t>Figure 3</w:t>
      </w:r>
      <w:r w:rsidRPr="0090288E">
        <w:t>. The volume of purified amplicon necessary for the dilution was calculated to be 10.14 μL by using the equation C1V1=C2V2.</w:t>
      </w:r>
    </w:p>
    <w:p w14:paraId="1A5457E4" w14:textId="5B34B80B" w:rsidR="0090288E" w:rsidRDefault="0090288E" w:rsidP="0030140B">
      <w:pPr>
        <w:spacing w:line="480" w:lineRule="auto"/>
      </w:pPr>
    </w:p>
    <w:p w14:paraId="108575A9" w14:textId="07921C9D" w:rsidR="00467993" w:rsidRDefault="00467993" w:rsidP="0030140B">
      <w:pPr>
        <w:spacing w:line="480" w:lineRule="auto"/>
      </w:pPr>
      <w:r w:rsidRPr="00467993">
        <w:drawing>
          <wp:inline distT="0" distB="0" distL="0" distR="0" wp14:anchorId="703D1873" wp14:editId="7509D5FE">
            <wp:extent cx="5943600" cy="1172845"/>
            <wp:effectExtent l="19050" t="19050" r="19050" b="27305"/>
            <wp:docPr id="10" name="Picture 46" descr="A picture containing line chart&#10;&#10;Description automatically generated">
              <a:extLst xmlns:a="http://schemas.openxmlformats.org/drawingml/2006/main">
                <a:ext uri="{FF2B5EF4-FFF2-40B4-BE49-F238E27FC236}">
                  <a16:creationId xmlns:a16="http://schemas.microsoft.com/office/drawing/2014/main" id="{873D58F7-C95C-42BC-8FD0-16B7F22D3C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6" descr="A picture containing line chart&#10;&#10;Description automatically generated">
                      <a:extLst>
                        <a:ext uri="{FF2B5EF4-FFF2-40B4-BE49-F238E27FC236}">
                          <a16:creationId xmlns:a16="http://schemas.microsoft.com/office/drawing/2014/main" id="{873D58F7-C95C-42BC-8FD0-16B7F22D3CEB}"/>
                        </a:ext>
                      </a:extLst>
                    </pic:cNvPr>
                    <pic:cNvPicPr>
                      <a:picLocks noChangeAspect="1"/>
                    </pic:cNvPicPr>
                  </pic:nvPicPr>
                  <pic:blipFill>
                    <a:blip r:embed="rId11"/>
                    <a:stretch>
                      <a:fillRect/>
                    </a:stretch>
                  </pic:blipFill>
                  <pic:spPr>
                    <a:xfrm>
                      <a:off x="0" y="0"/>
                      <a:ext cx="5943600" cy="1172845"/>
                    </a:xfrm>
                    <a:prstGeom prst="rect">
                      <a:avLst/>
                    </a:prstGeom>
                    <a:ln>
                      <a:solidFill>
                        <a:schemeClr val="tx1"/>
                      </a:solidFill>
                    </a:ln>
                  </pic:spPr>
                </pic:pic>
              </a:graphicData>
            </a:graphic>
          </wp:inline>
        </w:drawing>
      </w:r>
    </w:p>
    <w:p w14:paraId="0B606FCE" w14:textId="39D7F987" w:rsidR="00B1757D" w:rsidRDefault="00B1757D" w:rsidP="0030140B">
      <w:pPr>
        <w:spacing w:line="480" w:lineRule="auto"/>
      </w:pPr>
      <w:r w:rsidRPr="0026233A">
        <w:rPr>
          <w:b/>
          <w:bCs/>
        </w:rPr>
        <w:t>Figure 4</w:t>
      </w:r>
      <w:r>
        <w:t>. Chromatogram of the pGLO plasmid.</w:t>
      </w:r>
    </w:p>
    <w:p w14:paraId="57473683" w14:textId="77777777" w:rsidR="006D4BA8" w:rsidRDefault="006D4BA8" w:rsidP="0030140B">
      <w:pPr>
        <w:spacing w:line="480" w:lineRule="auto"/>
      </w:pPr>
    </w:p>
    <w:p w14:paraId="16A0326D"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&gt;Contig1</w:t>
      </w:r>
    </w:p>
    <w:p w14:paraId="1ABB4296"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NNNNNNTNNACCNAACCNGGTNNCCCCCGNTNNTAAAAGCATTNNNNNACNAAGNGGGNN</w:t>
      </w:r>
    </w:p>
    <w:p w14:paraId="1CF636CE"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CNANNCCATGACAAAAACGCGNANNAAAAAGNNNCTANATCNCGGCNGAAAAGTCCACAT</w:t>
      </w:r>
    </w:p>
    <w:p w14:paraId="2CA14D29"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TGATTATTTGCNNGGCGTCACACTTTGCTATGCCATAGCATTTTTATCCATAAGATNAGC</w:t>
      </w:r>
    </w:p>
    <w:p w14:paraId="4319ECF2"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GGATCCTANNGACGCTTTT</w:t>
      </w:r>
      <w:r w:rsidRPr="006D4BA8">
        <w:rPr>
          <w:rFonts w:eastAsia="Times New Roman"/>
          <w:color w:val="000000"/>
          <w:sz w:val="22"/>
          <w:szCs w:val="22"/>
          <w:highlight w:val="yellow"/>
        </w:rPr>
        <w:t>ATCGCAACTCTCTACTGTTTC</w:t>
      </w:r>
      <w:r w:rsidRPr="006D4BA8">
        <w:rPr>
          <w:rFonts w:eastAsia="Times New Roman"/>
          <w:color w:val="000000"/>
          <w:sz w:val="22"/>
          <w:szCs w:val="22"/>
        </w:rPr>
        <w:t>TCCATACCCGTTTTTTTGGG</w:t>
      </w:r>
    </w:p>
    <w:p w14:paraId="54A3CB97"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CTAGAAATAATTTTGTTTAACTTTAAGAAGGAGATATACAT</w:t>
      </w:r>
      <w:r w:rsidRPr="006D4BA8">
        <w:rPr>
          <w:rFonts w:eastAsia="Times New Roman"/>
          <w:color w:val="000000"/>
          <w:sz w:val="22"/>
          <w:szCs w:val="22"/>
          <w:highlight w:val="magenta"/>
        </w:rPr>
        <w:t>ATG</w:t>
      </w:r>
      <w:r w:rsidRPr="006D4BA8">
        <w:rPr>
          <w:rFonts w:eastAsia="Times New Roman"/>
          <w:color w:val="000000"/>
          <w:sz w:val="22"/>
          <w:szCs w:val="22"/>
        </w:rPr>
        <w:t>GCTAGCAAAGGAGAAG</w:t>
      </w:r>
    </w:p>
    <w:p w14:paraId="2AC64B3B"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AACTTTTCACTGGAGTTGTCCCAATTCTTGTTGAATTAGATGGTGATGTTAATGGGCACA</w:t>
      </w:r>
    </w:p>
    <w:p w14:paraId="1440D514"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AATTTTCTGTCAGTGGAGAGGGTGAAGGTGATGCTACATACGGAAAGCTTACCCTTAAAT</w:t>
      </w:r>
    </w:p>
    <w:p w14:paraId="163B0E0D"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TTATTTGCACTACTGGAAAACTACCTGTTCCATGGCCAACACTTGTCACTACTTTCTCTT</w:t>
      </w:r>
    </w:p>
    <w:p w14:paraId="7296BB85"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ATGGTGTTCAATGCTTTTCCCGTTATCCGGATCATATGAAACGGCATGACTTTTTCAAGA</w:t>
      </w:r>
    </w:p>
    <w:p w14:paraId="1BA4E35E"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GTGCCATGCCCGAAGGTTATGTACAGGAACGCACTATATCTTTCAAAGATGACGGGAACT</w:t>
      </w:r>
    </w:p>
    <w:p w14:paraId="1FB33EFA"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ACAAGACGCGTGCTGAAGTCAAGTTTGAAGGTGATACCCTTGTTAATCGTATCGAGTTAA</w:t>
      </w:r>
    </w:p>
    <w:p w14:paraId="3A83CEA5"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AAGGTATTGATTTTAAAGAAGATGGAAACATTCTCGGACACAAACTCGAGTACAACTATA</w:t>
      </w:r>
    </w:p>
    <w:p w14:paraId="6D9B50E7"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ACTCACACAATGTATACATCACGGCAGACAAACAAAAGAATGGAATCAAAGCTAACTTCA</w:t>
      </w:r>
    </w:p>
    <w:p w14:paraId="7A7B9A43"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lastRenderedPageBreak/>
        <w:t>AAATTCGCCACAACATTGAAGATGGATCCGTTCAACTAGCAGACCATTATCAACAAAATA</w:t>
      </w:r>
    </w:p>
    <w:p w14:paraId="72D9EF5A"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CTCCAATTGGCGATGGCCCTGTCCTTTTACCAGACAACCATTACCTGTCGACACAATCTG</w:t>
      </w:r>
    </w:p>
    <w:p w14:paraId="2DC04901"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CCCTTTCGAAAGATCCCAACGAAAAGCGTGACCACATGGTCCTTCTTGAGTTTGTAACTG</w:t>
      </w:r>
    </w:p>
    <w:p w14:paraId="44BD8833"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CTGCTGGGATTACACATGGCATGGATGAGCTCTACAAA</w:t>
      </w:r>
      <w:r w:rsidRPr="006D4BA8">
        <w:rPr>
          <w:rFonts w:eastAsia="Times New Roman"/>
          <w:color w:val="000000"/>
          <w:sz w:val="22"/>
          <w:szCs w:val="22"/>
          <w:highlight w:val="cyan"/>
        </w:rPr>
        <w:t>TAA</w:t>
      </w:r>
      <w:r w:rsidRPr="006D4BA8">
        <w:rPr>
          <w:rFonts w:eastAsia="Times New Roman"/>
          <w:color w:val="000000"/>
          <w:sz w:val="22"/>
          <w:szCs w:val="22"/>
        </w:rPr>
        <w:t>TGAATTCGAGCTCGGTACC</w:t>
      </w:r>
    </w:p>
    <w:p w14:paraId="361EE864"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CGGGGATCCTCTAGAGTCGACCTGCAGGCATGCAAGCTTGGCTGTTTTGGCGGATGAGAG</w:t>
      </w:r>
    </w:p>
    <w:p w14:paraId="5AC61254"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AAGATTTTCA</w:t>
      </w:r>
      <w:r w:rsidRPr="006D4BA8">
        <w:rPr>
          <w:rFonts w:eastAsia="Times New Roman"/>
          <w:color w:val="000000"/>
          <w:sz w:val="22"/>
          <w:szCs w:val="22"/>
          <w:highlight w:val="green"/>
        </w:rPr>
        <w:t>GCCTGATACAGATTAAATCAGA</w:t>
      </w:r>
      <w:r w:rsidRPr="006D4BA8">
        <w:rPr>
          <w:rFonts w:eastAsia="Times New Roman"/>
          <w:color w:val="000000"/>
          <w:sz w:val="22"/>
          <w:szCs w:val="22"/>
        </w:rPr>
        <w:t>ACGCAGAAGCGGTCTGATAAAACAGAAT</w:t>
      </w:r>
    </w:p>
    <w:p w14:paraId="7BB9FDB9"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TTGCCTGGCGGCAGTANCGCGGNGGTCCCACCNGACCCCNATGCCGAANCTCANAAANTG</w:t>
      </w:r>
    </w:p>
    <w:p w14:paraId="2947A0EA"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AAACNCCGTANCNNCGATGGTAGNGNNGGGGNCNTCCCCCATGCGAGANTAGNNNNGNCN</w:t>
      </w:r>
    </w:p>
    <w:p w14:paraId="3BF4EA7A"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eastAsia="Times New Roman"/>
          <w:color w:val="000000"/>
          <w:sz w:val="22"/>
          <w:szCs w:val="22"/>
        </w:rPr>
      </w:pPr>
      <w:r w:rsidRPr="006D4BA8">
        <w:rPr>
          <w:rFonts w:eastAsia="Times New Roman"/>
          <w:color w:val="000000"/>
          <w:sz w:val="22"/>
          <w:szCs w:val="22"/>
        </w:rPr>
        <w:t>NGNNATCAAATAAAANNNAANNNNNNNNNCNAANGANTGNNNNNNNTTTTNNTCNNNNNN</w:t>
      </w:r>
    </w:p>
    <w:p w14:paraId="3DD43060"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Calibri" w:eastAsia="Times New Roman" w:hAnsi="Calibri"/>
          <w:color w:val="000000"/>
          <w:sz w:val="22"/>
          <w:szCs w:val="22"/>
        </w:rPr>
      </w:pPr>
      <w:r w:rsidRPr="006D4BA8">
        <w:rPr>
          <w:rFonts w:eastAsia="Times New Roman"/>
          <w:color w:val="000000"/>
          <w:sz w:val="22"/>
          <w:szCs w:val="22"/>
        </w:rPr>
        <w:t>TTNGNCGGNGNANN</w:t>
      </w:r>
    </w:p>
    <w:p w14:paraId="1050957D"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Calibri" w:eastAsia="Times New Roman" w:hAnsi="Calibri"/>
          <w:color w:val="000000"/>
          <w:sz w:val="22"/>
          <w:szCs w:val="22"/>
        </w:rPr>
      </w:pPr>
    </w:p>
    <w:p w14:paraId="7E83A23D"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Calibri" w:eastAsia="Times New Roman" w:hAnsi="Calibri"/>
          <w:color w:val="000000"/>
          <w:sz w:val="22"/>
          <w:szCs w:val="22"/>
        </w:rPr>
      </w:pPr>
      <w:r w:rsidRPr="006D4BA8">
        <w:rPr>
          <w:rFonts w:ascii="Calibri" w:eastAsia="Times New Roman" w:hAnsi="Calibri"/>
          <w:color w:val="000000"/>
          <w:sz w:val="22"/>
          <w:szCs w:val="22"/>
          <w:highlight w:val="yellow"/>
        </w:rPr>
        <w:t>F1 Primer</w:t>
      </w:r>
    </w:p>
    <w:p w14:paraId="1AF40974"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Calibri" w:eastAsia="Times New Roman" w:hAnsi="Calibri"/>
          <w:color w:val="000000"/>
          <w:sz w:val="22"/>
          <w:szCs w:val="22"/>
        </w:rPr>
      </w:pPr>
      <w:r w:rsidRPr="006D4BA8">
        <w:rPr>
          <w:rFonts w:ascii="Calibri" w:eastAsia="Times New Roman" w:hAnsi="Calibri"/>
          <w:color w:val="000000"/>
          <w:sz w:val="22"/>
          <w:szCs w:val="22"/>
          <w:highlight w:val="green"/>
        </w:rPr>
        <w:t>R1 Primer</w:t>
      </w:r>
    </w:p>
    <w:p w14:paraId="1F1B7465" w14:textId="77777777" w:rsidR="006D4BA8" w:rsidRPr="006D4BA8" w:rsidRDefault="006D4BA8" w:rsidP="006D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Calibri" w:eastAsia="Times New Roman" w:hAnsi="Calibri"/>
          <w:color w:val="000000"/>
          <w:sz w:val="22"/>
          <w:szCs w:val="22"/>
        </w:rPr>
      </w:pPr>
      <w:r w:rsidRPr="006D4BA8">
        <w:rPr>
          <w:rFonts w:ascii="Calibri" w:eastAsia="Times New Roman" w:hAnsi="Calibri"/>
          <w:color w:val="000000"/>
          <w:sz w:val="22"/>
          <w:szCs w:val="22"/>
          <w:highlight w:val="magenta"/>
        </w:rPr>
        <w:t>Start codon</w:t>
      </w:r>
    </w:p>
    <w:p w14:paraId="618074F5" w14:textId="7B4D0494" w:rsidR="006B3DE1" w:rsidRDefault="006D4BA8" w:rsidP="006D4BA8">
      <w:pPr>
        <w:spacing w:line="480" w:lineRule="auto"/>
      </w:pPr>
      <w:r w:rsidRPr="006D4BA8">
        <w:rPr>
          <w:rFonts w:ascii="Calibri" w:eastAsia="Times New Roman" w:hAnsi="Calibri"/>
          <w:color w:val="000000"/>
          <w:sz w:val="22"/>
          <w:szCs w:val="22"/>
          <w:highlight w:val="cyan"/>
        </w:rPr>
        <w:t>Stop codon</w:t>
      </w:r>
    </w:p>
    <w:p w14:paraId="499CF6A7" w14:textId="050B18B8" w:rsidR="006B3DE1" w:rsidRDefault="006D4BA8" w:rsidP="0030140B">
      <w:pPr>
        <w:spacing w:line="480" w:lineRule="auto"/>
      </w:pPr>
      <w:r w:rsidRPr="009E3085">
        <w:rPr>
          <w:b/>
          <w:bCs/>
        </w:rPr>
        <w:t xml:space="preserve">Figure </w:t>
      </w:r>
      <w:r w:rsidR="009E3085" w:rsidRPr="009E3085">
        <w:rPr>
          <w:b/>
          <w:bCs/>
        </w:rPr>
        <w:t>5</w:t>
      </w:r>
      <w:r w:rsidRPr="009E3085">
        <w:rPr>
          <w:b/>
          <w:bCs/>
        </w:rPr>
        <w:t>.</w:t>
      </w:r>
      <w:r>
        <w:t xml:space="preserve"> Contig of the PCR amplicon. The start codon, the stop codon, the F1 primer, and the R1 Primer are highlighted within the contig.</w:t>
      </w:r>
    </w:p>
    <w:p w14:paraId="15C00D4F" w14:textId="03CB479A" w:rsidR="00944118" w:rsidRDefault="00944118" w:rsidP="0030140B">
      <w:pPr>
        <w:spacing w:line="480" w:lineRule="auto"/>
      </w:pPr>
    </w:p>
    <w:p w14:paraId="28867F64" w14:textId="64A695DE" w:rsidR="00944118" w:rsidRDefault="00944118" w:rsidP="0030140B">
      <w:pPr>
        <w:spacing w:line="480" w:lineRule="auto"/>
      </w:pPr>
      <w:r>
        <w:rPr>
          <w:noProof/>
        </w:rPr>
        <w:drawing>
          <wp:inline distT="0" distB="0" distL="0" distR="0" wp14:anchorId="7A22713F" wp14:editId="165F64B1">
            <wp:extent cx="4411980" cy="18897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1980" cy="1889760"/>
                    </a:xfrm>
                    <a:prstGeom prst="rect">
                      <a:avLst/>
                    </a:prstGeom>
                    <a:noFill/>
                    <a:ln>
                      <a:noFill/>
                    </a:ln>
                  </pic:spPr>
                </pic:pic>
              </a:graphicData>
            </a:graphic>
          </wp:inline>
        </w:drawing>
      </w:r>
    </w:p>
    <w:p w14:paraId="34C785DC" w14:textId="77777777" w:rsidR="00944118" w:rsidRDefault="00944118" w:rsidP="00944118">
      <w:pPr>
        <w:spacing w:line="480" w:lineRule="auto"/>
      </w:pPr>
      <w:r w:rsidRPr="00B375AA">
        <w:rPr>
          <w:b/>
          <w:bCs/>
        </w:rPr>
        <w:t xml:space="preserve">Figure </w:t>
      </w:r>
      <w:r>
        <w:rPr>
          <w:b/>
          <w:bCs/>
        </w:rPr>
        <w:t>6</w:t>
      </w:r>
      <w:r w:rsidRPr="00B375AA">
        <w:t>. Top hits of BLAST analysis of the GFP</w:t>
      </w:r>
      <w:r>
        <w:t xml:space="preserve"> </w:t>
      </w:r>
      <w:r w:rsidRPr="00B375AA">
        <w:t>gene.</w:t>
      </w:r>
    </w:p>
    <w:p w14:paraId="65D04EFF" w14:textId="77777777" w:rsidR="00944118" w:rsidRDefault="00944118" w:rsidP="0030140B">
      <w:pPr>
        <w:spacing w:line="480" w:lineRule="auto"/>
      </w:pPr>
    </w:p>
    <w:p w14:paraId="545FE8B9" w14:textId="45BA3951" w:rsidR="001817BD" w:rsidRDefault="005946C1" w:rsidP="0030140B">
      <w:pPr>
        <w:spacing w:line="480" w:lineRule="auto"/>
      </w:pPr>
      <w:r>
        <w:rPr>
          <w:noProof/>
        </w:rPr>
        <w:lastRenderedPageBreak/>
        <w:drawing>
          <wp:inline distT="0" distB="0" distL="0" distR="0" wp14:anchorId="3C336273" wp14:editId="1A54BA7C">
            <wp:extent cx="3817620" cy="6248400"/>
            <wp:effectExtent l="0" t="0" r="0" b="0"/>
            <wp:docPr id="2" name="Picture 2"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ewspap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817620" cy="6248400"/>
                    </a:xfrm>
                    <a:prstGeom prst="rect">
                      <a:avLst/>
                    </a:prstGeom>
                  </pic:spPr>
                </pic:pic>
              </a:graphicData>
            </a:graphic>
          </wp:inline>
        </w:drawing>
      </w:r>
    </w:p>
    <w:p w14:paraId="693BA0F0" w14:textId="1FD06E05" w:rsidR="0026233A" w:rsidRDefault="0026233A" w:rsidP="0026233A">
      <w:pPr>
        <w:spacing w:line="480" w:lineRule="auto"/>
      </w:pPr>
      <w:r w:rsidRPr="00DB50A4">
        <w:rPr>
          <w:b/>
          <w:bCs/>
        </w:rPr>
        <w:t xml:space="preserve">Figure </w:t>
      </w:r>
      <w:r w:rsidR="00DB50A4" w:rsidRPr="00DB50A4">
        <w:rPr>
          <w:b/>
          <w:bCs/>
        </w:rPr>
        <w:t>7</w:t>
      </w:r>
      <w:r w:rsidRPr="009E3085">
        <w:rPr>
          <w:b/>
          <w:bCs/>
        </w:rPr>
        <w:t>.</w:t>
      </w:r>
      <w:r>
        <w:t xml:space="preserve"> Alignment of the contig of the PCR amplicon.</w:t>
      </w:r>
    </w:p>
    <w:p w14:paraId="28998C4E" w14:textId="096F04BD" w:rsidR="006D4BA8" w:rsidRDefault="006D4BA8" w:rsidP="0030140B">
      <w:pPr>
        <w:spacing w:line="480" w:lineRule="auto"/>
      </w:pPr>
    </w:p>
    <w:p w14:paraId="0CB08E07" w14:textId="44C8B166" w:rsidR="00B375AA" w:rsidRDefault="00B375AA" w:rsidP="0030140B">
      <w:pPr>
        <w:spacing w:line="480" w:lineRule="auto"/>
      </w:pPr>
      <w:r>
        <w:lastRenderedPageBreak/>
        <w:t> </w:t>
      </w:r>
      <w:r>
        <w:rPr>
          <w:noProof/>
        </w:rPr>
        <w:drawing>
          <wp:inline distT="0" distB="0" distL="0" distR="0" wp14:anchorId="2BD43458" wp14:editId="3B3BEF58">
            <wp:extent cx="3387473" cy="26441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3574" cy="2648902"/>
                    </a:xfrm>
                    <a:prstGeom prst="rect">
                      <a:avLst/>
                    </a:prstGeom>
                    <a:noFill/>
                    <a:ln>
                      <a:noFill/>
                    </a:ln>
                  </pic:spPr>
                </pic:pic>
              </a:graphicData>
            </a:graphic>
          </wp:inline>
        </w:drawing>
      </w:r>
    </w:p>
    <w:p w14:paraId="39DF7C8D" w14:textId="32C823BE" w:rsidR="00B375AA" w:rsidRDefault="00CB236B" w:rsidP="0030140B">
      <w:pPr>
        <w:spacing w:line="480" w:lineRule="auto"/>
      </w:pPr>
      <w:r w:rsidRPr="00CB236B">
        <w:rPr>
          <w:b/>
          <w:bCs/>
        </w:rPr>
        <w:t xml:space="preserve">Figure </w:t>
      </w:r>
      <w:r w:rsidR="00DB50A4">
        <w:rPr>
          <w:b/>
          <w:bCs/>
        </w:rPr>
        <w:t>8</w:t>
      </w:r>
      <w:r w:rsidRPr="00CB236B">
        <w:t>. Map of the pGLO plasmid.</w:t>
      </w:r>
    </w:p>
    <w:p w14:paraId="5BF2DE87" w14:textId="61CC877D" w:rsidR="00B375AA" w:rsidRDefault="00B375AA" w:rsidP="0030140B">
      <w:pPr>
        <w:spacing w:line="480" w:lineRule="auto"/>
      </w:pPr>
    </w:p>
    <w:p w14:paraId="7E769E13" w14:textId="77991C97" w:rsidR="00CB236B" w:rsidRDefault="00CB236B" w:rsidP="0030140B">
      <w:pPr>
        <w:spacing w:line="480" w:lineRule="auto"/>
      </w:pPr>
      <w:r w:rsidRPr="00CB236B">
        <w:t> </w:t>
      </w:r>
      <w:r w:rsidRPr="00CB236B">
        <w:rPr>
          <w:noProof/>
        </w:rPr>
        <w:drawing>
          <wp:inline distT="0" distB="0" distL="0" distR="0" wp14:anchorId="34D60294" wp14:editId="626383ED">
            <wp:extent cx="3139440" cy="3483336"/>
            <wp:effectExtent l="0" t="0" r="381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7143" cy="3491883"/>
                    </a:xfrm>
                    <a:prstGeom prst="rect">
                      <a:avLst/>
                    </a:prstGeom>
                    <a:noFill/>
                    <a:ln>
                      <a:noFill/>
                    </a:ln>
                  </pic:spPr>
                </pic:pic>
              </a:graphicData>
            </a:graphic>
          </wp:inline>
        </w:drawing>
      </w:r>
    </w:p>
    <w:p w14:paraId="070DA060" w14:textId="59CA2FC8" w:rsidR="00CB236B" w:rsidRDefault="00CA334D" w:rsidP="0030140B">
      <w:pPr>
        <w:spacing w:line="480" w:lineRule="auto"/>
      </w:pPr>
      <w:r w:rsidRPr="00CA334D">
        <w:rPr>
          <w:b/>
          <w:bCs/>
        </w:rPr>
        <w:t xml:space="preserve">Figure </w:t>
      </w:r>
      <w:r w:rsidR="00DB50A4">
        <w:rPr>
          <w:b/>
          <w:bCs/>
        </w:rPr>
        <w:t>9</w:t>
      </w:r>
      <w:r w:rsidRPr="00CA334D">
        <w:t>. Photo of +/- pGLO transformed bacterial growth in LB/LB+amp/LB+amp+ara plates exposed to UV light​</w:t>
      </w:r>
    </w:p>
    <w:p w14:paraId="68AD07D5" w14:textId="5112625A" w:rsidR="00CA334D" w:rsidRDefault="00CA334D" w:rsidP="0030140B">
      <w:pPr>
        <w:spacing w:line="480" w:lineRule="auto"/>
      </w:pPr>
    </w:p>
    <w:p w14:paraId="4953E6B8" w14:textId="05BB9533" w:rsidR="00CA334D" w:rsidRDefault="00CA334D" w:rsidP="0030140B">
      <w:pPr>
        <w:spacing w:line="480" w:lineRule="auto"/>
      </w:pPr>
      <w:r>
        <w:lastRenderedPageBreak/>
        <w:t> </w:t>
      </w:r>
      <w:r w:rsidR="00EB1CF1">
        <w:rPr>
          <w:noProof/>
        </w:rPr>
        <w:drawing>
          <wp:inline distT="0" distB="0" distL="0" distR="0" wp14:anchorId="085770D7" wp14:editId="3FF9B747">
            <wp:extent cx="3505200" cy="2551756"/>
            <wp:effectExtent l="0" t="0" r="0" b="127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512810" cy="2557296"/>
                    </a:xfrm>
                    <a:prstGeom prst="rect">
                      <a:avLst/>
                    </a:prstGeom>
                  </pic:spPr>
                </pic:pic>
              </a:graphicData>
            </a:graphic>
          </wp:inline>
        </w:drawing>
      </w:r>
    </w:p>
    <w:p w14:paraId="16805DC4" w14:textId="22F90E52" w:rsidR="00CA334D" w:rsidRDefault="00DA50A6" w:rsidP="0030140B">
      <w:pPr>
        <w:spacing w:line="480" w:lineRule="auto"/>
      </w:pPr>
      <w:r w:rsidRPr="00DA50A6">
        <w:rPr>
          <w:b/>
          <w:bCs/>
        </w:rPr>
        <w:t>Table 1</w:t>
      </w:r>
      <w:r w:rsidRPr="00DA50A6">
        <w:t>. table of + and -pGLO transformed bacterial growth in LB/LB+amp/LB+amp+ara​</w:t>
      </w:r>
    </w:p>
    <w:p w14:paraId="36A92B78" w14:textId="12F563BA" w:rsidR="00CA334D" w:rsidRDefault="00CA334D" w:rsidP="0030140B">
      <w:pPr>
        <w:spacing w:line="480" w:lineRule="auto"/>
      </w:pPr>
    </w:p>
    <w:p w14:paraId="6AFF94D5" w14:textId="1229D4D1" w:rsidR="00CA334D" w:rsidRDefault="00DA50A6" w:rsidP="0030140B">
      <w:pPr>
        <w:spacing w:line="480" w:lineRule="auto"/>
      </w:pPr>
      <w:r>
        <w:t> </w:t>
      </w:r>
      <w:r w:rsidR="00F16B03">
        <w:rPr>
          <w:noProof/>
        </w:rPr>
        <w:drawing>
          <wp:inline distT="0" distB="0" distL="0" distR="0" wp14:anchorId="69D60BCC" wp14:editId="6508CD1C">
            <wp:extent cx="3490791" cy="2346960"/>
            <wp:effectExtent l="0" t="0" r="0"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04170" cy="2355955"/>
                    </a:xfrm>
                    <a:prstGeom prst="rect">
                      <a:avLst/>
                    </a:prstGeom>
                  </pic:spPr>
                </pic:pic>
              </a:graphicData>
            </a:graphic>
          </wp:inline>
        </w:drawing>
      </w:r>
    </w:p>
    <w:p w14:paraId="43F25CB3" w14:textId="48524D9C" w:rsidR="00CA334D" w:rsidRDefault="00DA50A6" w:rsidP="0030140B">
      <w:pPr>
        <w:spacing w:line="480" w:lineRule="auto"/>
      </w:pPr>
      <w:r w:rsidRPr="00DA50A6">
        <w:rPr>
          <w:b/>
          <w:bCs/>
        </w:rPr>
        <w:t>Table 2</w:t>
      </w:r>
      <w:r w:rsidRPr="00DA50A6">
        <w:t>. Table of pGLO growth and glow in ara or glucose or both sugars plates​</w:t>
      </w:r>
    </w:p>
    <w:p w14:paraId="4A04CF69" w14:textId="77777777" w:rsidR="00CA334D" w:rsidRDefault="00CA334D" w:rsidP="0030140B">
      <w:pPr>
        <w:spacing w:line="480" w:lineRule="auto"/>
      </w:pPr>
    </w:p>
    <w:p w14:paraId="3C8DF695" w14:textId="77777777" w:rsidR="007626B0" w:rsidRDefault="007626B0">
      <w:pPr>
        <w:rPr>
          <w:b/>
          <w:bCs/>
        </w:rPr>
      </w:pPr>
      <w:r>
        <w:rPr>
          <w:b/>
          <w:bCs/>
        </w:rPr>
        <w:br w:type="page"/>
      </w:r>
    </w:p>
    <w:p w14:paraId="2E60563D" w14:textId="6EC2A702" w:rsidR="003853F3" w:rsidRPr="003853F3" w:rsidRDefault="003853F3" w:rsidP="0030140B">
      <w:pPr>
        <w:spacing w:line="480" w:lineRule="auto"/>
        <w:rPr>
          <w:b/>
          <w:bCs/>
        </w:rPr>
      </w:pPr>
      <w:r w:rsidRPr="003853F3">
        <w:rPr>
          <w:b/>
          <w:bCs/>
        </w:rPr>
        <w:lastRenderedPageBreak/>
        <w:t>LITERATURE CITED</w:t>
      </w:r>
    </w:p>
    <w:p w14:paraId="4C9BDF42" w14:textId="585C934B" w:rsidR="0099730E" w:rsidRDefault="001F7455" w:rsidP="005D0ABD">
      <w:pPr>
        <w:spacing w:line="480" w:lineRule="auto"/>
        <w:ind w:left="720" w:hanging="720"/>
      </w:pPr>
      <w:r w:rsidRPr="001F7455">
        <w:t>Bergtrom, G</w:t>
      </w:r>
      <w:r w:rsidR="005D0ABD">
        <w:t>.</w:t>
      </w:r>
      <w:r w:rsidR="00BA6D88">
        <w:t xml:space="preserve"> 2018.</w:t>
      </w:r>
      <w:r w:rsidRPr="001F7455">
        <w:t xml:space="preserve"> "ANNOTATED CELL AND MOLECULAR BIOLOGY 3e: WHAT WE KNOW AND HOW WE FOUND OUT" Cell and Molecular Biology 3e: What We Know and How We Found Out - All Versions. 8.</w:t>
      </w:r>
    </w:p>
    <w:p w14:paraId="5936BE43" w14:textId="3AB5B788" w:rsidR="0099730E" w:rsidRDefault="0099730E" w:rsidP="005D0ABD">
      <w:pPr>
        <w:spacing w:line="480" w:lineRule="auto"/>
        <w:ind w:left="720" w:hanging="720"/>
      </w:pPr>
    </w:p>
    <w:p w14:paraId="684EC035" w14:textId="2FE82186" w:rsidR="009B6731" w:rsidRDefault="009B6731" w:rsidP="005D0ABD">
      <w:pPr>
        <w:spacing w:line="480" w:lineRule="auto"/>
        <w:ind w:left="720" w:hanging="720"/>
      </w:pPr>
      <w:r w:rsidRPr="009B6731">
        <w:t>Faust, N., Varas, F., Kelly, L. M., Heck, S., &amp; Graf, T. 2000. Insertion of enhanced green fluorescent protein into the lysozyme gene creates mice with green fluorescent granulocytes and macrophages. Blood, The Journal of the American Society of Hematology, 96(2)</w:t>
      </w:r>
      <w:r>
        <w:t xml:space="preserve">: </w:t>
      </w:r>
      <w:r w:rsidRPr="009B6731">
        <w:t>719-726.</w:t>
      </w:r>
    </w:p>
    <w:p w14:paraId="0D34B94F" w14:textId="77777777" w:rsidR="009B6731" w:rsidRDefault="009B6731" w:rsidP="005D0ABD">
      <w:pPr>
        <w:spacing w:line="480" w:lineRule="auto"/>
        <w:ind w:left="720" w:hanging="720"/>
      </w:pPr>
    </w:p>
    <w:p w14:paraId="71B0D245" w14:textId="1ECF2E6C" w:rsidR="00DB202D" w:rsidRDefault="00DB202D" w:rsidP="005D0ABD">
      <w:pPr>
        <w:spacing w:line="480" w:lineRule="auto"/>
        <w:ind w:left="720" w:hanging="720"/>
      </w:pPr>
      <w:r w:rsidRPr="00DB202D">
        <w:t>Heim, R., Prasher, D. C., &amp; Tsien, R. Y. 1994. Wavelength mutations and posttranslational autoxidation of green fluorescent protein. Proceedings of the National Academy of Sciences, 91(26)</w:t>
      </w:r>
      <w:r w:rsidR="005D0ABD">
        <w:t>:</w:t>
      </w:r>
      <w:r w:rsidRPr="00DB202D">
        <w:t>12501-12504.</w:t>
      </w:r>
    </w:p>
    <w:p w14:paraId="62BD0F74" w14:textId="77777777" w:rsidR="00DB202D" w:rsidRDefault="00DB202D" w:rsidP="005D0ABD">
      <w:pPr>
        <w:spacing w:line="480" w:lineRule="auto"/>
        <w:ind w:left="720" w:hanging="720"/>
      </w:pPr>
    </w:p>
    <w:p w14:paraId="14B9E93B" w14:textId="31DA6558" w:rsidR="004B2738" w:rsidRDefault="00807716" w:rsidP="005D0ABD">
      <w:pPr>
        <w:spacing w:line="480" w:lineRule="auto"/>
        <w:ind w:left="720" w:hanging="720"/>
      </w:pPr>
      <w:r w:rsidRPr="00807716">
        <w:t>Niedenthal, R. K., Riles, L., Johnston, M., &amp; Hegemann, J. H. 1996. Green fluorescent protein as a marker for gene expression and subcellular localization in budding yeast. Yeast, 12(8)</w:t>
      </w:r>
      <w:r w:rsidR="005D0ABD">
        <w:t>:</w:t>
      </w:r>
      <w:r w:rsidRPr="00807716">
        <w:t>773-786.</w:t>
      </w:r>
    </w:p>
    <w:p w14:paraId="28818D15" w14:textId="77777777" w:rsidR="00DB202D" w:rsidRDefault="00DB202D" w:rsidP="00C36B87">
      <w:pPr>
        <w:spacing w:line="480" w:lineRule="auto"/>
      </w:pPr>
    </w:p>
    <w:sectPr w:rsidR="00DB202D">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11BB7" w14:textId="77777777" w:rsidR="006C2359" w:rsidRDefault="006C2359" w:rsidP="00752D2D">
      <w:pPr>
        <w:spacing w:line="240" w:lineRule="auto"/>
      </w:pPr>
      <w:r>
        <w:separator/>
      </w:r>
    </w:p>
  </w:endnote>
  <w:endnote w:type="continuationSeparator" w:id="0">
    <w:p w14:paraId="3E6D6342" w14:textId="77777777" w:rsidR="006C2359" w:rsidRDefault="006C2359" w:rsidP="00752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2C15F" w14:textId="77777777" w:rsidR="006C2359" w:rsidRDefault="006C2359" w:rsidP="00752D2D">
      <w:pPr>
        <w:spacing w:line="240" w:lineRule="auto"/>
      </w:pPr>
      <w:r>
        <w:separator/>
      </w:r>
    </w:p>
  </w:footnote>
  <w:footnote w:type="continuationSeparator" w:id="0">
    <w:p w14:paraId="6EAD0A30" w14:textId="77777777" w:rsidR="006C2359" w:rsidRDefault="006C2359" w:rsidP="00752D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376668"/>
      <w:docPartObj>
        <w:docPartGallery w:val="Page Numbers (Top of Page)"/>
        <w:docPartUnique/>
      </w:docPartObj>
    </w:sdtPr>
    <w:sdtEndPr>
      <w:rPr>
        <w:noProof/>
      </w:rPr>
    </w:sdtEndPr>
    <w:sdtContent>
      <w:p w14:paraId="2407A36B" w14:textId="44C817FC" w:rsidR="00752D2D" w:rsidRDefault="00752D2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931E2F" w14:textId="77777777" w:rsidR="00752D2D" w:rsidRDefault="00752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87"/>
    <w:rsid w:val="00003ACE"/>
    <w:rsid w:val="000077F2"/>
    <w:rsid w:val="00033B83"/>
    <w:rsid w:val="000460D5"/>
    <w:rsid w:val="000466AA"/>
    <w:rsid w:val="000527BE"/>
    <w:rsid w:val="000600B8"/>
    <w:rsid w:val="0007732D"/>
    <w:rsid w:val="00077BED"/>
    <w:rsid w:val="00081505"/>
    <w:rsid w:val="00081A19"/>
    <w:rsid w:val="0008310D"/>
    <w:rsid w:val="00095032"/>
    <w:rsid w:val="000A16C1"/>
    <w:rsid w:val="000A5C4F"/>
    <w:rsid w:val="000A721B"/>
    <w:rsid w:val="000A7563"/>
    <w:rsid w:val="000B19FF"/>
    <w:rsid w:val="000B7B72"/>
    <w:rsid w:val="000C4D93"/>
    <w:rsid w:val="000D302A"/>
    <w:rsid w:val="000F6241"/>
    <w:rsid w:val="00150248"/>
    <w:rsid w:val="001536E5"/>
    <w:rsid w:val="001558DF"/>
    <w:rsid w:val="00156424"/>
    <w:rsid w:val="00162369"/>
    <w:rsid w:val="001625AF"/>
    <w:rsid w:val="0017414D"/>
    <w:rsid w:val="001778EB"/>
    <w:rsid w:val="001817BD"/>
    <w:rsid w:val="00192F8E"/>
    <w:rsid w:val="001A5CF9"/>
    <w:rsid w:val="001B56B7"/>
    <w:rsid w:val="001C67AE"/>
    <w:rsid w:val="001E1268"/>
    <w:rsid w:val="001F5EC0"/>
    <w:rsid w:val="001F7455"/>
    <w:rsid w:val="00207CA1"/>
    <w:rsid w:val="0021268C"/>
    <w:rsid w:val="002233DA"/>
    <w:rsid w:val="0024654C"/>
    <w:rsid w:val="00251CD1"/>
    <w:rsid w:val="0026233A"/>
    <w:rsid w:val="00274A82"/>
    <w:rsid w:val="002926CA"/>
    <w:rsid w:val="002B5742"/>
    <w:rsid w:val="002C2B7C"/>
    <w:rsid w:val="002C5E6C"/>
    <w:rsid w:val="002C6451"/>
    <w:rsid w:val="002D36B9"/>
    <w:rsid w:val="002D65D8"/>
    <w:rsid w:val="002E25CA"/>
    <w:rsid w:val="002E409F"/>
    <w:rsid w:val="0030140B"/>
    <w:rsid w:val="00307FD7"/>
    <w:rsid w:val="003105B3"/>
    <w:rsid w:val="003137E3"/>
    <w:rsid w:val="00325E6E"/>
    <w:rsid w:val="003623AF"/>
    <w:rsid w:val="00372E70"/>
    <w:rsid w:val="00375A3E"/>
    <w:rsid w:val="003853F3"/>
    <w:rsid w:val="00394A2A"/>
    <w:rsid w:val="00395B31"/>
    <w:rsid w:val="003A03F2"/>
    <w:rsid w:val="003A0402"/>
    <w:rsid w:val="003A1CDA"/>
    <w:rsid w:val="003B0FF2"/>
    <w:rsid w:val="003B36A8"/>
    <w:rsid w:val="003C674E"/>
    <w:rsid w:val="003E4502"/>
    <w:rsid w:val="003E7C53"/>
    <w:rsid w:val="003F070F"/>
    <w:rsid w:val="003F7699"/>
    <w:rsid w:val="00414B14"/>
    <w:rsid w:val="004157FE"/>
    <w:rsid w:val="00416DE5"/>
    <w:rsid w:val="0042231F"/>
    <w:rsid w:val="004247FE"/>
    <w:rsid w:val="004301E1"/>
    <w:rsid w:val="004444E2"/>
    <w:rsid w:val="00450EB3"/>
    <w:rsid w:val="004659FE"/>
    <w:rsid w:val="00467993"/>
    <w:rsid w:val="00470915"/>
    <w:rsid w:val="00486239"/>
    <w:rsid w:val="004877ED"/>
    <w:rsid w:val="004B1164"/>
    <w:rsid w:val="004B2738"/>
    <w:rsid w:val="004B395E"/>
    <w:rsid w:val="004B7DF1"/>
    <w:rsid w:val="004C1AD9"/>
    <w:rsid w:val="004F1451"/>
    <w:rsid w:val="004F7E4E"/>
    <w:rsid w:val="00502808"/>
    <w:rsid w:val="005102DF"/>
    <w:rsid w:val="005148F5"/>
    <w:rsid w:val="00514AA6"/>
    <w:rsid w:val="005228ED"/>
    <w:rsid w:val="00536568"/>
    <w:rsid w:val="005612A3"/>
    <w:rsid w:val="005746FC"/>
    <w:rsid w:val="0058781F"/>
    <w:rsid w:val="005922BD"/>
    <w:rsid w:val="005946C1"/>
    <w:rsid w:val="005A0502"/>
    <w:rsid w:val="005A147E"/>
    <w:rsid w:val="005B2000"/>
    <w:rsid w:val="005C13C7"/>
    <w:rsid w:val="005C4633"/>
    <w:rsid w:val="005C4B9A"/>
    <w:rsid w:val="005D0ABD"/>
    <w:rsid w:val="005E2247"/>
    <w:rsid w:val="005F5B64"/>
    <w:rsid w:val="0060779A"/>
    <w:rsid w:val="00613D10"/>
    <w:rsid w:val="00617156"/>
    <w:rsid w:val="00625157"/>
    <w:rsid w:val="006253F6"/>
    <w:rsid w:val="00631C88"/>
    <w:rsid w:val="006339E2"/>
    <w:rsid w:val="006547E7"/>
    <w:rsid w:val="00682484"/>
    <w:rsid w:val="0069426E"/>
    <w:rsid w:val="006957D0"/>
    <w:rsid w:val="006A3D64"/>
    <w:rsid w:val="006A5C34"/>
    <w:rsid w:val="006B3DE1"/>
    <w:rsid w:val="006C2359"/>
    <w:rsid w:val="006C39E3"/>
    <w:rsid w:val="006C5E4B"/>
    <w:rsid w:val="006D3B46"/>
    <w:rsid w:val="006D4BA8"/>
    <w:rsid w:val="006F0CE6"/>
    <w:rsid w:val="00734C33"/>
    <w:rsid w:val="00745739"/>
    <w:rsid w:val="00752D2D"/>
    <w:rsid w:val="0075689F"/>
    <w:rsid w:val="007626B0"/>
    <w:rsid w:val="00765B6C"/>
    <w:rsid w:val="007674BD"/>
    <w:rsid w:val="00770F1A"/>
    <w:rsid w:val="00776A6C"/>
    <w:rsid w:val="007842AF"/>
    <w:rsid w:val="007851EB"/>
    <w:rsid w:val="00790709"/>
    <w:rsid w:val="00790FBB"/>
    <w:rsid w:val="007972DE"/>
    <w:rsid w:val="007A557C"/>
    <w:rsid w:val="007A7C96"/>
    <w:rsid w:val="007A7D04"/>
    <w:rsid w:val="007B5E8D"/>
    <w:rsid w:val="007B6908"/>
    <w:rsid w:val="007C294D"/>
    <w:rsid w:val="007D0E23"/>
    <w:rsid w:val="007D166C"/>
    <w:rsid w:val="007E12B6"/>
    <w:rsid w:val="00803B56"/>
    <w:rsid w:val="00807716"/>
    <w:rsid w:val="008151B6"/>
    <w:rsid w:val="0082752A"/>
    <w:rsid w:val="008429A8"/>
    <w:rsid w:val="00874491"/>
    <w:rsid w:val="008B105A"/>
    <w:rsid w:val="008E4A95"/>
    <w:rsid w:val="008F6C9F"/>
    <w:rsid w:val="009025BB"/>
    <w:rsid w:val="0090288E"/>
    <w:rsid w:val="00902BB2"/>
    <w:rsid w:val="009076F5"/>
    <w:rsid w:val="00913F83"/>
    <w:rsid w:val="00915CA7"/>
    <w:rsid w:val="0093322D"/>
    <w:rsid w:val="00944118"/>
    <w:rsid w:val="009512A5"/>
    <w:rsid w:val="009538FA"/>
    <w:rsid w:val="00962895"/>
    <w:rsid w:val="009707F6"/>
    <w:rsid w:val="0097578F"/>
    <w:rsid w:val="00980EE2"/>
    <w:rsid w:val="00981FFA"/>
    <w:rsid w:val="0099041B"/>
    <w:rsid w:val="0099730E"/>
    <w:rsid w:val="009A7579"/>
    <w:rsid w:val="009B1519"/>
    <w:rsid w:val="009B6731"/>
    <w:rsid w:val="009D4655"/>
    <w:rsid w:val="009E2B5A"/>
    <w:rsid w:val="009E3085"/>
    <w:rsid w:val="009E6568"/>
    <w:rsid w:val="00A123A5"/>
    <w:rsid w:val="00A239DA"/>
    <w:rsid w:val="00A24465"/>
    <w:rsid w:val="00A30956"/>
    <w:rsid w:val="00A53AC6"/>
    <w:rsid w:val="00A7241C"/>
    <w:rsid w:val="00AB3BB4"/>
    <w:rsid w:val="00AB4D98"/>
    <w:rsid w:val="00AB6E72"/>
    <w:rsid w:val="00AC7182"/>
    <w:rsid w:val="00AD0F01"/>
    <w:rsid w:val="00B10FBC"/>
    <w:rsid w:val="00B16F8A"/>
    <w:rsid w:val="00B1757D"/>
    <w:rsid w:val="00B179D8"/>
    <w:rsid w:val="00B20F02"/>
    <w:rsid w:val="00B264F5"/>
    <w:rsid w:val="00B269FE"/>
    <w:rsid w:val="00B375AA"/>
    <w:rsid w:val="00B4113B"/>
    <w:rsid w:val="00B46210"/>
    <w:rsid w:val="00B674FB"/>
    <w:rsid w:val="00B73527"/>
    <w:rsid w:val="00B808D2"/>
    <w:rsid w:val="00B82DE3"/>
    <w:rsid w:val="00B93EE6"/>
    <w:rsid w:val="00BA4F01"/>
    <w:rsid w:val="00BA6D88"/>
    <w:rsid w:val="00BD0E9A"/>
    <w:rsid w:val="00BE0968"/>
    <w:rsid w:val="00BE42DF"/>
    <w:rsid w:val="00C163A4"/>
    <w:rsid w:val="00C25442"/>
    <w:rsid w:val="00C36B87"/>
    <w:rsid w:val="00C46F57"/>
    <w:rsid w:val="00C61B86"/>
    <w:rsid w:val="00C72A2C"/>
    <w:rsid w:val="00C81CA6"/>
    <w:rsid w:val="00C839FE"/>
    <w:rsid w:val="00C83DC5"/>
    <w:rsid w:val="00C900AE"/>
    <w:rsid w:val="00C9087A"/>
    <w:rsid w:val="00CA334D"/>
    <w:rsid w:val="00CB236B"/>
    <w:rsid w:val="00CD022E"/>
    <w:rsid w:val="00CE0EFA"/>
    <w:rsid w:val="00CE5A92"/>
    <w:rsid w:val="00CF7812"/>
    <w:rsid w:val="00D05472"/>
    <w:rsid w:val="00D2443B"/>
    <w:rsid w:val="00D45025"/>
    <w:rsid w:val="00D656FA"/>
    <w:rsid w:val="00D65B3C"/>
    <w:rsid w:val="00D75CFF"/>
    <w:rsid w:val="00D95A7A"/>
    <w:rsid w:val="00DA269A"/>
    <w:rsid w:val="00DA50A6"/>
    <w:rsid w:val="00DB202D"/>
    <w:rsid w:val="00DB4424"/>
    <w:rsid w:val="00DB50A4"/>
    <w:rsid w:val="00DC28F6"/>
    <w:rsid w:val="00DD76FB"/>
    <w:rsid w:val="00DE5145"/>
    <w:rsid w:val="00DE67D8"/>
    <w:rsid w:val="00DE6C3D"/>
    <w:rsid w:val="00DF0133"/>
    <w:rsid w:val="00E00DFD"/>
    <w:rsid w:val="00E028EB"/>
    <w:rsid w:val="00E16F78"/>
    <w:rsid w:val="00E17860"/>
    <w:rsid w:val="00E2590D"/>
    <w:rsid w:val="00E418B0"/>
    <w:rsid w:val="00E56201"/>
    <w:rsid w:val="00E607CF"/>
    <w:rsid w:val="00E64476"/>
    <w:rsid w:val="00E71FBC"/>
    <w:rsid w:val="00E72096"/>
    <w:rsid w:val="00E7394B"/>
    <w:rsid w:val="00E9017D"/>
    <w:rsid w:val="00E9181C"/>
    <w:rsid w:val="00E92183"/>
    <w:rsid w:val="00E95E01"/>
    <w:rsid w:val="00EA2016"/>
    <w:rsid w:val="00EA6427"/>
    <w:rsid w:val="00EB1CF1"/>
    <w:rsid w:val="00EB3656"/>
    <w:rsid w:val="00EC07FC"/>
    <w:rsid w:val="00EC37E5"/>
    <w:rsid w:val="00EC4B31"/>
    <w:rsid w:val="00ED00A0"/>
    <w:rsid w:val="00ED4ACF"/>
    <w:rsid w:val="00ED4F10"/>
    <w:rsid w:val="00EF1771"/>
    <w:rsid w:val="00EF7CA1"/>
    <w:rsid w:val="00F05744"/>
    <w:rsid w:val="00F11053"/>
    <w:rsid w:val="00F14E95"/>
    <w:rsid w:val="00F16B03"/>
    <w:rsid w:val="00F2102D"/>
    <w:rsid w:val="00F21691"/>
    <w:rsid w:val="00F219E3"/>
    <w:rsid w:val="00F22F23"/>
    <w:rsid w:val="00F3151C"/>
    <w:rsid w:val="00F32292"/>
    <w:rsid w:val="00F50A8D"/>
    <w:rsid w:val="00F737AF"/>
    <w:rsid w:val="00F80F09"/>
    <w:rsid w:val="00F839AD"/>
    <w:rsid w:val="00F87434"/>
    <w:rsid w:val="00FC13A6"/>
    <w:rsid w:val="00FC6728"/>
    <w:rsid w:val="00FE0101"/>
    <w:rsid w:val="00FE33D1"/>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8EBC"/>
  <w15:chartTrackingRefBased/>
  <w15:docId w15:val="{967B2D22-C3E2-4CA4-B1B0-C1AE3340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D2D"/>
    <w:pPr>
      <w:tabs>
        <w:tab w:val="center" w:pos="4680"/>
        <w:tab w:val="right" w:pos="9360"/>
      </w:tabs>
      <w:spacing w:line="240" w:lineRule="auto"/>
    </w:pPr>
  </w:style>
  <w:style w:type="character" w:customStyle="1" w:styleId="HeaderChar">
    <w:name w:val="Header Char"/>
    <w:basedOn w:val="DefaultParagraphFont"/>
    <w:link w:val="Header"/>
    <w:uiPriority w:val="99"/>
    <w:rsid w:val="00752D2D"/>
  </w:style>
  <w:style w:type="paragraph" w:styleId="Footer">
    <w:name w:val="footer"/>
    <w:basedOn w:val="Normal"/>
    <w:link w:val="FooterChar"/>
    <w:uiPriority w:val="99"/>
    <w:unhideWhenUsed/>
    <w:rsid w:val="00752D2D"/>
    <w:pPr>
      <w:tabs>
        <w:tab w:val="center" w:pos="4680"/>
        <w:tab w:val="right" w:pos="9360"/>
      </w:tabs>
      <w:spacing w:line="240" w:lineRule="auto"/>
    </w:pPr>
  </w:style>
  <w:style w:type="character" w:customStyle="1" w:styleId="FooterChar">
    <w:name w:val="Footer Char"/>
    <w:basedOn w:val="DefaultParagraphFont"/>
    <w:link w:val="Footer"/>
    <w:uiPriority w:val="99"/>
    <w:rsid w:val="00752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1558">
      <w:bodyDiv w:val="1"/>
      <w:marLeft w:val="0"/>
      <w:marRight w:val="0"/>
      <w:marTop w:val="0"/>
      <w:marBottom w:val="0"/>
      <w:divBdr>
        <w:top w:val="none" w:sz="0" w:space="0" w:color="auto"/>
        <w:left w:val="none" w:sz="0" w:space="0" w:color="auto"/>
        <w:bottom w:val="none" w:sz="0" w:space="0" w:color="auto"/>
        <w:right w:val="none" w:sz="0" w:space="0" w:color="auto"/>
      </w:divBdr>
    </w:div>
    <w:div w:id="413548058">
      <w:bodyDiv w:val="1"/>
      <w:marLeft w:val="0"/>
      <w:marRight w:val="0"/>
      <w:marTop w:val="0"/>
      <w:marBottom w:val="0"/>
      <w:divBdr>
        <w:top w:val="none" w:sz="0" w:space="0" w:color="auto"/>
        <w:left w:val="none" w:sz="0" w:space="0" w:color="auto"/>
        <w:bottom w:val="none" w:sz="0" w:space="0" w:color="auto"/>
        <w:right w:val="none" w:sz="0" w:space="0" w:color="auto"/>
      </w:divBdr>
      <w:divsChild>
        <w:div w:id="769278893">
          <w:marLeft w:val="0"/>
          <w:marRight w:val="0"/>
          <w:marTop w:val="100"/>
          <w:marBottom w:val="100"/>
          <w:divBdr>
            <w:top w:val="dashed" w:sz="6" w:space="0" w:color="A8A8A8"/>
            <w:left w:val="none" w:sz="0" w:space="0" w:color="auto"/>
            <w:bottom w:val="none" w:sz="0" w:space="0" w:color="auto"/>
            <w:right w:val="none" w:sz="0" w:space="0" w:color="auto"/>
          </w:divBdr>
          <w:divsChild>
            <w:div w:id="677581921">
              <w:marLeft w:val="0"/>
              <w:marRight w:val="0"/>
              <w:marTop w:val="750"/>
              <w:marBottom w:val="750"/>
              <w:divBdr>
                <w:top w:val="none" w:sz="0" w:space="0" w:color="auto"/>
                <w:left w:val="none" w:sz="0" w:space="0" w:color="auto"/>
                <w:bottom w:val="none" w:sz="0" w:space="0" w:color="auto"/>
                <w:right w:val="none" w:sz="0" w:space="0" w:color="auto"/>
              </w:divBdr>
              <w:divsChild>
                <w:div w:id="1401096647">
                  <w:marLeft w:val="0"/>
                  <w:marRight w:val="0"/>
                  <w:marTop w:val="0"/>
                  <w:marBottom w:val="0"/>
                  <w:divBdr>
                    <w:top w:val="none" w:sz="0" w:space="0" w:color="auto"/>
                    <w:left w:val="none" w:sz="0" w:space="0" w:color="auto"/>
                    <w:bottom w:val="none" w:sz="0" w:space="0" w:color="auto"/>
                    <w:right w:val="none" w:sz="0" w:space="0" w:color="auto"/>
                  </w:divBdr>
                  <w:divsChild>
                    <w:div w:id="593246462">
                      <w:marLeft w:val="0"/>
                      <w:marRight w:val="0"/>
                      <w:marTop w:val="0"/>
                      <w:marBottom w:val="0"/>
                      <w:divBdr>
                        <w:top w:val="none" w:sz="0" w:space="0" w:color="auto"/>
                        <w:left w:val="none" w:sz="0" w:space="0" w:color="auto"/>
                        <w:bottom w:val="none" w:sz="0" w:space="0" w:color="auto"/>
                        <w:right w:val="none" w:sz="0" w:space="0" w:color="auto"/>
                      </w:divBdr>
                      <w:divsChild>
                        <w:div w:id="1826165288">
                          <w:marLeft w:val="0"/>
                          <w:marRight w:val="0"/>
                          <w:marTop w:val="0"/>
                          <w:marBottom w:val="0"/>
                          <w:divBdr>
                            <w:top w:val="none" w:sz="0" w:space="0" w:color="auto"/>
                            <w:left w:val="none" w:sz="0" w:space="0" w:color="auto"/>
                            <w:bottom w:val="none" w:sz="0" w:space="0" w:color="auto"/>
                            <w:right w:val="none" w:sz="0" w:space="0" w:color="auto"/>
                          </w:divBdr>
                        </w:div>
                      </w:divsChild>
                    </w:div>
                    <w:div w:id="1138884747">
                      <w:marLeft w:val="0"/>
                      <w:marRight w:val="0"/>
                      <w:marTop w:val="0"/>
                      <w:marBottom w:val="0"/>
                      <w:divBdr>
                        <w:top w:val="none" w:sz="0" w:space="0" w:color="auto"/>
                        <w:left w:val="none" w:sz="0" w:space="0" w:color="auto"/>
                        <w:bottom w:val="none" w:sz="0" w:space="0" w:color="auto"/>
                        <w:right w:val="none" w:sz="0" w:space="0" w:color="auto"/>
                      </w:divBdr>
                      <w:divsChild>
                        <w:div w:id="1988586589">
                          <w:marLeft w:val="0"/>
                          <w:marRight w:val="0"/>
                          <w:marTop w:val="0"/>
                          <w:marBottom w:val="0"/>
                          <w:divBdr>
                            <w:top w:val="none" w:sz="0" w:space="0" w:color="auto"/>
                            <w:left w:val="none" w:sz="0" w:space="0" w:color="auto"/>
                            <w:bottom w:val="none" w:sz="0" w:space="0" w:color="auto"/>
                            <w:right w:val="none" w:sz="0" w:space="0" w:color="auto"/>
                          </w:divBdr>
                        </w:div>
                        <w:div w:id="13119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47679">
              <w:marLeft w:val="0"/>
              <w:marRight w:val="0"/>
              <w:marTop w:val="0"/>
              <w:marBottom w:val="0"/>
              <w:divBdr>
                <w:top w:val="none" w:sz="0" w:space="0" w:color="auto"/>
                <w:left w:val="none" w:sz="0" w:space="0" w:color="auto"/>
                <w:bottom w:val="none" w:sz="0" w:space="0" w:color="auto"/>
                <w:right w:val="none" w:sz="0" w:space="0" w:color="auto"/>
              </w:divBdr>
              <w:divsChild>
                <w:div w:id="32318151">
                  <w:marLeft w:val="0"/>
                  <w:marRight w:val="0"/>
                  <w:marTop w:val="0"/>
                  <w:marBottom w:val="0"/>
                  <w:divBdr>
                    <w:top w:val="none" w:sz="0" w:space="0" w:color="auto"/>
                    <w:left w:val="none" w:sz="0" w:space="0" w:color="auto"/>
                    <w:bottom w:val="none" w:sz="0" w:space="0" w:color="auto"/>
                    <w:right w:val="none" w:sz="0" w:space="0" w:color="auto"/>
                  </w:divBdr>
                  <w:divsChild>
                    <w:div w:id="2060737419">
                      <w:marLeft w:val="0"/>
                      <w:marRight w:val="0"/>
                      <w:marTop w:val="0"/>
                      <w:marBottom w:val="0"/>
                      <w:divBdr>
                        <w:top w:val="none" w:sz="0" w:space="0" w:color="auto"/>
                        <w:left w:val="none" w:sz="0" w:space="0" w:color="auto"/>
                        <w:bottom w:val="none" w:sz="0" w:space="0" w:color="auto"/>
                        <w:right w:val="none" w:sz="0" w:space="0" w:color="auto"/>
                      </w:divBdr>
                      <w:divsChild>
                        <w:div w:id="339238705">
                          <w:marLeft w:val="0"/>
                          <w:marRight w:val="0"/>
                          <w:marTop w:val="0"/>
                          <w:marBottom w:val="0"/>
                          <w:divBdr>
                            <w:top w:val="none" w:sz="0" w:space="0" w:color="auto"/>
                            <w:left w:val="none" w:sz="0" w:space="0" w:color="auto"/>
                            <w:bottom w:val="none" w:sz="0" w:space="0" w:color="auto"/>
                            <w:right w:val="none" w:sz="0" w:space="0" w:color="auto"/>
                          </w:divBdr>
                          <w:divsChild>
                            <w:div w:id="1227762695">
                              <w:marLeft w:val="0"/>
                              <w:marRight w:val="0"/>
                              <w:marTop w:val="0"/>
                              <w:marBottom w:val="0"/>
                              <w:divBdr>
                                <w:top w:val="none" w:sz="0" w:space="0" w:color="auto"/>
                                <w:left w:val="none" w:sz="0" w:space="0" w:color="auto"/>
                                <w:bottom w:val="none" w:sz="0" w:space="0" w:color="auto"/>
                                <w:right w:val="none" w:sz="0" w:space="0" w:color="auto"/>
                              </w:divBdr>
                              <w:divsChild>
                                <w:div w:id="967592071">
                                  <w:marLeft w:val="0"/>
                                  <w:marRight w:val="0"/>
                                  <w:marTop w:val="0"/>
                                  <w:marBottom w:val="0"/>
                                  <w:divBdr>
                                    <w:top w:val="none" w:sz="0" w:space="0" w:color="auto"/>
                                    <w:left w:val="none" w:sz="0" w:space="0" w:color="auto"/>
                                    <w:bottom w:val="none" w:sz="0" w:space="0" w:color="auto"/>
                                    <w:right w:val="none" w:sz="0" w:space="0" w:color="auto"/>
                                  </w:divBdr>
                                  <w:divsChild>
                                    <w:div w:id="1477378820">
                                      <w:marLeft w:val="180"/>
                                      <w:marRight w:val="180"/>
                                      <w:marTop w:val="120"/>
                                      <w:marBottom w:val="90"/>
                                      <w:divBdr>
                                        <w:top w:val="none" w:sz="0" w:space="0" w:color="auto"/>
                                        <w:left w:val="none" w:sz="0" w:space="0" w:color="auto"/>
                                        <w:bottom w:val="none" w:sz="0" w:space="0" w:color="auto"/>
                                        <w:right w:val="none" w:sz="0" w:space="0" w:color="auto"/>
                                      </w:divBdr>
                                    </w:div>
                                  </w:divsChild>
                                </w:div>
                                <w:div w:id="20558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3979">
                      <w:marLeft w:val="0"/>
                      <w:marRight w:val="0"/>
                      <w:marTop w:val="0"/>
                      <w:marBottom w:val="0"/>
                      <w:divBdr>
                        <w:top w:val="none" w:sz="0" w:space="0" w:color="auto"/>
                        <w:left w:val="none" w:sz="0" w:space="0" w:color="auto"/>
                        <w:bottom w:val="none" w:sz="0" w:space="0" w:color="auto"/>
                        <w:right w:val="none" w:sz="0" w:space="0" w:color="auto"/>
                      </w:divBdr>
                      <w:divsChild>
                        <w:div w:id="1536235239">
                          <w:marLeft w:val="0"/>
                          <w:marRight w:val="0"/>
                          <w:marTop w:val="0"/>
                          <w:marBottom w:val="0"/>
                          <w:divBdr>
                            <w:top w:val="none" w:sz="0" w:space="0" w:color="auto"/>
                            <w:left w:val="none" w:sz="0" w:space="0" w:color="auto"/>
                            <w:bottom w:val="none" w:sz="0" w:space="0" w:color="auto"/>
                            <w:right w:val="none" w:sz="0" w:space="0" w:color="auto"/>
                          </w:divBdr>
                          <w:divsChild>
                            <w:div w:id="1627349868">
                              <w:marLeft w:val="0"/>
                              <w:marRight w:val="0"/>
                              <w:marTop w:val="0"/>
                              <w:marBottom w:val="0"/>
                              <w:divBdr>
                                <w:top w:val="none" w:sz="0" w:space="0" w:color="auto"/>
                                <w:left w:val="none" w:sz="0" w:space="0" w:color="auto"/>
                                <w:bottom w:val="none" w:sz="0" w:space="0" w:color="auto"/>
                                <w:right w:val="none" w:sz="0" w:space="0" w:color="auto"/>
                              </w:divBdr>
                              <w:divsChild>
                                <w:div w:id="1750074128">
                                  <w:marLeft w:val="0"/>
                                  <w:marRight w:val="0"/>
                                  <w:marTop w:val="0"/>
                                  <w:marBottom w:val="0"/>
                                  <w:divBdr>
                                    <w:top w:val="none" w:sz="0" w:space="0" w:color="auto"/>
                                    <w:left w:val="none" w:sz="0" w:space="0" w:color="auto"/>
                                    <w:bottom w:val="none" w:sz="0" w:space="0" w:color="auto"/>
                                    <w:right w:val="none" w:sz="0" w:space="0" w:color="auto"/>
                                  </w:divBdr>
                                  <w:divsChild>
                                    <w:div w:id="1799489946">
                                      <w:marLeft w:val="180"/>
                                      <w:marRight w:val="180"/>
                                      <w:marTop w:val="120"/>
                                      <w:marBottom w:val="90"/>
                                      <w:divBdr>
                                        <w:top w:val="none" w:sz="0" w:space="0" w:color="auto"/>
                                        <w:left w:val="none" w:sz="0" w:space="0" w:color="auto"/>
                                        <w:bottom w:val="none" w:sz="0" w:space="0" w:color="auto"/>
                                        <w:right w:val="none" w:sz="0" w:space="0" w:color="auto"/>
                                      </w:divBdr>
                                    </w:div>
                                  </w:divsChild>
                                </w:div>
                                <w:div w:id="20602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602231">
          <w:marLeft w:val="0"/>
          <w:marRight w:val="0"/>
          <w:marTop w:val="100"/>
          <w:marBottom w:val="100"/>
          <w:divBdr>
            <w:top w:val="dashed" w:sz="6" w:space="0" w:color="A8A8A8"/>
            <w:left w:val="none" w:sz="0" w:space="0" w:color="auto"/>
            <w:bottom w:val="none" w:sz="0" w:space="0" w:color="auto"/>
            <w:right w:val="none" w:sz="0" w:space="0" w:color="auto"/>
          </w:divBdr>
          <w:divsChild>
            <w:div w:id="172914261">
              <w:marLeft w:val="0"/>
              <w:marRight w:val="0"/>
              <w:marTop w:val="750"/>
              <w:marBottom w:val="750"/>
              <w:divBdr>
                <w:top w:val="none" w:sz="0" w:space="0" w:color="auto"/>
                <w:left w:val="none" w:sz="0" w:space="0" w:color="auto"/>
                <w:bottom w:val="none" w:sz="0" w:space="0" w:color="auto"/>
                <w:right w:val="none" w:sz="0" w:space="0" w:color="auto"/>
              </w:divBdr>
              <w:divsChild>
                <w:div w:id="101532680">
                  <w:marLeft w:val="0"/>
                  <w:marRight w:val="0"/>
                  <w:marTop w:val="0"/>
                  <w:marBottom w:val="0"/>
                  <w:divBdr>
                    <w:top w:val="none" w:sz="0" w:space="0" w:color="auto"/>
                    <w:left w:val="none" w:sz="0" w:space="0" w:color="auto"/>
                    <w:bottom w:val="none" w:sz="0" w:space="0" w:color="auto"/>
                    <w:right w:val="none" w:sz="0" w:space="0" w:color="auto"/>
                  </w:divBdr>
                  <w:divsChild>
                    <w:div w:id="651907548">
                      <w:marLeft w:val="0"/>
                      <w:marRight w:val="0"/>
                      <w:marTop w:val="0"/>
                      <w:marBottom w:val="0"/>
                      <w:divBdr>
                        <w:top w:val="none" w:sz="0" w:space="0" w:color="auto"/>
                        <w:left w:val="none" w:sz="0" w:space="0" w:color="auto"/>
                        <w:bottom w:val="none" w:sz="0" w:space="0" w:color="auto"/>
                        <w:right w:val="none" w:sz="0" w:space="0" w:color="auto"/>
                      </w:divBdr>
                      <w:divsChild>
                        <w:div w:id="17938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630951">
      <w:bodyDiv w:val="1"/>
      <w:marLeft w:val="0"/>
      <w:marRight w:val="0"/>
      <w:marTop w:val="0"/>
      <w:marBottom w:val="0"/>
      <w:divBdr>
        <w:top w:val="none" w:sz="0" w:space="0" w:color="auto"/>
        <w:left w:val="none" w:sz="0" w:space="0" w:color="auto"/>
        <w:bottom w:val="none" w:sz="0" w:space="0" w:color="auto"/>
        <w:right w:val="none" w:sz="0" w:space="0" w:color="auto"/>
      </w:divBdr>
      <w:divsChild>
        <w:div w:id="890728084">
          <w:marLeft w:val="0"/>
          <w:marRight w:val="0"/>
          <w:marTop w:val="0"/>
          <w:marBottom w:val="0"/>
          <w:divBdr>
            <w:top w:val="none" w:sz="0" w:space="0" w:color="auto"/>
            <w:left w:val="none" w:sz="0" w:space="0" w:color="auto"/>
            <w:bottom w:val="none" w:sz="0" w:space="0" w:color="auto"/>
            <w:right w:val="none" w:sz="0" w:space="0" w:color="auto"/>
          </w:divBdr>
        </w:div>
        <w:div w:id="1052190769">
          <w:marLeft w:val="0"/>
          <w:marRight w:val="0"/>
          <w:marTop w:val="0"/>
          <w:marBottom w:val="0"/>
          <w:divBdr>
            <w:top w:val="none" w:sz="0" w:space="0" w:color="auto"/>
            <w:left w:val="none" w:sz="0" w:space="0" w:color="auto"/>
            <w:bottom w:val="none" w:sz="0" w:space="0" w:color="auto"/>
            <w:right w:val="none" w:sz="0" w:space="0" w:color="auto"/>
          </w:divBdr>
        </w:div>
        <w:div w:id="1925677038">
          <w:marLeft w:val="0"/>
          <w:marRight w:val="0"/>
          <w:marTop w:val="0"/>
          <w:marBottom w:val="0"/>
          <w:divBdr>
            <w:top w:val="none" w:sz="0" w:space="0" w:color="auto"/>
            <w:left w:val="none" w:sz="0" w:space="0" w:color="auto"/>
            <w:bottom w:val="none" w:sz="0" w:space="0" w:color="auto"/>
            <w:right w:val="none" w:sz="0" w:space="0" w:color="auto"/>
          </w:divBdr>
        </w:div>
        <w:div w:id="1781798351">
          <w:marLeft w:val="0"/>
          <w:marRight w:val="0"/>
          <w:marTop w:val="0"/>
          <w:marBottom w:val="0"/>
          <w:divBdr>
            <w:top w:val="none" w:sz="0" w:space="0" w:color="auto"/>
            <w:left w:val="none" w:sz="0" w:space="0" w:color="auto"/>
            <w:bottom w:val="none" w:sz="0" w:space="0" w:color="auto"/>
            <w:right w:val="none" w:sz="0" w:space="0" w:color="auto"/>
          </w:divBdr>
        </w:div>
      </w:divsChild>
    </w:div>
    <w:div w:id="1079909181">
      <w:bodyDiv w:val="1"/>
      <w:marLeft w:val="0"/>
      <w:marRight w:val="0"/>
      <w:marTop w:val="0"/>
      <w:marBottom w:val="0"/>
      <w:divBdr>
        <w:top w:val="none" w:sz="0" w:space="0" w:color="auto"/>
        <w:left w:val="none" w:sz="0" w:space="0" w:color="auto"/>
        <w:bottom w:val="none" w:sz="0" w:space="0" w:color="auto"/>
        <w:right w:val="none" w:sz="0" w:space="0" w:color="auto"/>
      </w:divBdr>
    </w:div>
    <w:div w:id="137620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D10A07A94AAE459CBED79C34B1A802" ma:contentTypeVersion="4" ma:contentTypeDescription="Create a new document." ma:contentTypeScope="" ma:versionID="7839ecc987e8d1c4e01c0e4dcc089b1c">
  <xsd:schema xmlns:xsd="http://www.w3.org/2001/XMLSchema" xmlns:xs="http://www.w3.org/2001/XMLSchema" xmlns:p="http://schemas.microsoft.com/office/2006/metadata/properties" xmlns:ns3="6954323d-bca4-4afb-ac67-01a50408f4a0" targetNamespace="http://schemas.microsoft.com/office/2006/metadata/properties" ma:root="true" ma:fieldsID="8ce1b63f5f3a0787afaeb7c66ee03ab7" ns3:_="">
    <xsd:import namespace="6954323d-bca4-4afb-ac67-01a50408f4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4323d-bca4-4afb-ac67-01a50408f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733C5-FEBA-4AEE-9474-5A2B361709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89C301-26C2-40F2-B5A9-3287264B0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4323d-bca4-4afb-ac67-01a50408f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5CA1F-25B9-4293-B9EA-E2975E466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16</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Diaz-montealegre</dc:creator>
  <cp:keywords/>
  <dc:description/>
  <cp:lastModifiedBy>Miguel Diaz-Montealegre</cp:lastModifiedBy>
  <cp:revision>286</cp:revision>
  <dcterms:created xsi:type="dcterms:W3CDTF">2020-10-04T19:09:00Z</dcterms:created>
  <dcterms:modified xsi:type="dcterms:W3CDTF">2020-11-29T20:10:00Z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0x0101007ED10A07A94AAE459CBED79C34B1A802</vt:lpwstr>
  </property>
</Properties>
</file>