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B4891" w14:textId="64EA128B" w:rsidR="002B3AE6" w:rsidRDefault="00612209" w:rsidP="00E72727">
      <w:pPr>
        <w:spacing w:line="360" w:lineRule="auto"/>
        <w:rPr>
          <w:rFonts w:ascii="Arial" w:hAnsi="Arial" w:cs="Arial"/>
          <w:b/>
          <w:sz w:val="22"/>
          <w:szCs w:val="22"/>
        </w:rPr>
      </w:pPr>
      <w:r>
        <w:rPr>
          <w:rFonts w:ascii="Arial" w:hAnsi="Arial" w:cs="Arial"/>
          <w:b/>
          <w:sz w:val="22"/>
          <w:szCs w:val="22"/>
        </w:rPr>
        <w:t>Longwood University</w:t>
      </w:r>
      <w:r w:rsidR="002B3AE6">
        <w:rPr>
          <w:rFonts w:ascii="Arial" w:hAnsi="Arial" w:cs="Arial"/>
          <w:b/>
          <w:sz w:val="22"/>
          <w:szCs w:val="22"/>
        </w:rPr>
        <w:t xml:space="preserve"> Biological Research Registration </w:t>
      </w:r>
    </w:p>
    <w:p w14:paraId="2CBD618B" w14:textId="332B13E9" w:rsidR="003E5702" w:rsidRPr="00E13C4D" w:rsidRDefault="003E5702" w:rsidP="00E72727">
      <w:pPr>
        <w:spacing w:line="360" w:lineRule="auto"/>
        <w:rPr>
          <w:rFonts w:ascii="Arial" w:hAnsi="Arial" w:cs="Arial"/>
          <w:b/>
          <w:sz w:val="22"/>
          <w:szCs w:val="22"/>
        </w:rPr>
      </w:pPr>
      <w:r w:rsidRPr="00E13C4D">
        <w:rPr>
          <w:rFonts w:ascii="Arial" w:hAnsi="Arial" w:cs="Arial"/>
          <w:b/>
          <w:sz w:val="22"/>
          <w:szCs w:val="22"/>
        </w:rPr>
        <w:t>Appendix A: Section III of the NIH Guidelines</w:t>
      </w:r>
    </w:p>
    <w:p w14:paraId="34764FFA" w14:textId="77777777" w:rsidR="003E5702" w:rsidRPr="00275B47" w:rsidRDefault="003E5702" w:rsidP="003E5702">
      <w:pPr>
        <w:widowControl w:val="0"/>
        <w:autoSpaceDE w:val="0"/>
        <w:autoSpaceDN w:val="0"/>
        <w:adjustRightInd w:val="0"/>
        <w:rPr>
          <w:rFonts w:ascii="Arial" w:hAnsi="Arial" w:cs="Arial"/>
          <w:b/>
          <w:bCs/>
          <w:sz w:val="22"/>
          <w:szCs w:val="22"/>
        </w:rPr>
      </w:pPr>
      <w:r w:rsidRPr="00275B47">
        <w:rPr>
          <w:rFonts w:ascii="Arial" w:hAnsi="Arial" w:cs="Arial"/>
          <w:b/>
          <w:bCs/>
          <w:sz w:val="22"/>
          <w:szCs w:val="22"/>
        </w:rPr>
        <w:t>RECOMBINANT DNA EXPERIMENTS COVERED UNDER NIH GUIDELINES</w:t>
      </w:r>
    </w:p>
    <w:p w14:paraId="39E6FD84" w14:textId="4FCC2ED4" w:rsidR="003E5702" w:rsidRPr="00275B47" w:rsidRDefault="003E5702" w:rsidP="003E5702">
      <w:pPr>
        <w:widowControl w:val="0"/>
        <w:autoSpaceDE w:val="0"/>
        <w:autoSpaceDN w:val="0"/>
        <w:adjustRightInd w:val="0"/>
        <w:rPr>
          <w:rFonts w:ascii="Arial" w:hAnsi="Arial" w:cs="Arial"/>
          <w:sz w:val="22"/>
          <w:szCs w:val="22"/>
        </w:rPr>
      </w:pPr>
      <w:r w:rsidRPr="00275B47">
        <w:rPr>
          <w:rFonts w:ascii="Arial" w:hAnsi="Arial" w:cs="Arial"/>
          <w:sz w:val="22"/>
          <w:szCs w:val="22"/>
        </w:rPr>
        <w:t xml:space="preserve">This appendix summarizes the five categories of experiments involving recombinant DNA that are listed in the NIH Guidelines. The guidelines should be consulted for additional information at </w:t>
      </w:r>
      <w:hyperlink r:id="rId8" w:history="1">
        <w:r w:rsidRPr="00275B47">
          <w:rPr>
            <w:rFonts w:ascii="Arial" w:hAnsi="Arial" w:cs="Arial"/>
            <w:color w:val="420178"/>
            <w:sz w:val="22"/>
            <w:szCs w:val="22"/>
            <w:u w:val="single" w:color="420178"/>
          </w:rPr>
          <w:t>http://oba.od.nih.gov/rdna/nih_guidelines_oba.html</w:t>
        </w:r>
      </w:hyperlink>
      <w:r w:rsidRPr="00275B47">
        <w:rPr>
          <w:rFonts w:ascii="Arial" w:hAnsi="Arial" w:cs="Arial"/>
          <w:sz w:val="22"/>
          <w:szCs w:val="22"/>
        </w:rPr>
        <w:t>.</w:t>
      </w:r>
    </w:p>
    <w:p w14:paraId="6FD67439" w14:textId="77777777" w:rsidR="003E5702" w:rsidRPr="00275B47" w:rsidRDefault="003E5702" w:rsidP="003E5702">
      <w:pPr>
        <w:widowControl w:val="0"/>
        <w:autoSpaceDE w:val="0"/>
        <w:autoSpaceDN w:val="0"/>
        <w:adjustRightInd w:val="0"/>
        <w:rPr>
          <w:rFonts w:ascii="Arial" w:hAnsi="Arial" w:cs="Arial"/>
          <w:b/>
          <w:bCs/>
          <w:sz w:val="22"/>
          <w:szCs w:val="22"/>
        </w:rPr>
      </w:pPr>
    </w:p>
    <w:p w14:paraId="0F734689" w14:textId="4F36D2CD" w:rsidR="003E5702" w:rsidRPr="00275B47" w:rsidRDefault="003E5702" w:rsidP="003E5702">
      <w:pPr>
        <w:widowControl w:val="0"/>
        <w:autoSpaceDE w:val="0"/>
        <w:autoSpaceDN w:val="0"/>
        <w:adjustRightInd w:val="0"/>
        <w:rPr>
          <w:rFonts w:ascii="Arial" w:hAnsi="Arial" w:cs="Arial"/>
          <w:sz w:val="22"/>
          <w:szCs w:val="22"/>
        </w:rPr>
      </w:pPr>
      <w:r w:rsidRPr="00275B47">
        <w:rPr>
          <w:rFonts w:ascii="Arial" w:hAnsi="Arial" w:cs="Arial"/>
          <w:b/>
          <w:bCs/>
          <w:sz w:val="22"/>
          <w:szCs w:val="22"/>
        </w:rPr>
        <w:t>Section III-A</w:t>
      </w:r>
      <w:r w:rsidR="00D703D5">
        <w:rPr>
          <w:rFonts w:ascii="Arial" w:hAnsi="Arial" w:cs="Arial"/>
          <w:b/>
          <w:bCs/>
          <w:sz w:val="22"/>
          <w:szCs w:val="22"/>
        </w:rPr>
        <w:t xml:space="preserve">. </w:t>
      </w:r>
      <w:r w:rsidRPr="00275B47">
        <w:rPr>
          <w:rFonts w:ascii="Arial" w:hAnsi="Arial" w:cs="Arial"/>
          <w:b/>
          <w:bCs/>
          <w:sz w:val="22"/>
          <w:szCs w:val="22"/>
        </w:rPr>
        <w:t xml:space="preserve">Experiments that require </w:t>
      </w:r>
      <w:r w:rsidR="00D703D5">
        <w:rPr>
          <w:rFonts w:ascii="Arial" w:hAnsi="Arial" w:cs="Arial"/>
          <w:b/>
          <w:bCs/>
          <w:sz w:val="22"/>
          <w:szCs w:val="22"/>
        </w:rPr>
        <w:t xml:space="preserve">Institutional </w:t>
      </w:r>
      <w:r w:rsidR="00275B47" w:rsidRPr="00275B47">
        <w:rPr>
          <w:rFonts w:ascii="Arial" w:hAnsi="Arial" w:cs="Arial"/>
          <w:b/>
          <w:bCs/>
          <w:sz w:val="22"/>
          <w:szCs w:val="22"/>
        </w:rPr>
        <w:t>Biosafety</w:t>
      </w:r>
      <w:r w:rsidRPr="00275B47">
        <w:rPr>
          <w:rFonts w:ascii="Arial" w:hAnsi="Arial" w:cs="Arial"/>
          <w:b/>
          <w:bCs/>
          <w:sz w:val="22"/>
          <w:szCs w:val="22"/>
        </w:rPr>
        <w:t xml:space="preserve"> Committee approval, Recombinant DNA Advisory Committee (RAC) review, and NIH Director approval before initiation of the experiment.</w:t>
      </w:r>
    </w:p>
    <w:p w14:paraId="5465A559" w14:textId="0541DAF8"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III-A-1</w:t>
      </w:r>
      <w:r w:rsidR="00D703D5">
        <w:rPr>
          <w:rFonts w:ascii="Arial" w:hAnsi="Arial" w:cs="Arial"/>
          <w:sz w:val="22"/>
          <w:szCs w:val="22"/>
        </w:rPr>
        <w:t>.</w:t>
      </w:r>
      <w:r w:rsidRPr="00275B47">
        <w:rPr>
          <w:rFonts w:ascii="Arial" w:hAnsi="Arial" w:cs="Arial"/>
          <w:sz w:val="22"/>
          <w:szCs w:val="22"/>
        </w:rPr>
        <w:t xml:space="preserve"> Major actions under the NIH Guidelines (See Appendix D of the NIH Guidelines).</w:t>
      </w:r>
    </w:p>
    <w:p w14:paraId="5A852E48" w14:textId="4A79FD10" w:rsidR="003E5702" w:rsidRPr="00275B47" w:rsidRDefault="003E5702" w:rsidP="00D703D5">
      <w:pPr>
        <w:pStyle w:val="ListParagraph"/>
        <w:widowControl w:val="0"/>
        <w:numPr>
          <w:ilvl w:val="1"/>
          <w:numId w:val="5"/>
        </w:numPr>
        <w:autoSpaceDE w:val="0"/>
        <w:autoSpaceDN w:val="0"/>
        <w:adjustRightInd w:val="0"/>
        <w:rPr>
          <w:rFonts w:ascii="Arial" w:hAnsi="Arial" w:cs="Arial"/>
          <w:sz w:val="22"/>
          <w:szCs w:val="22"/>
        </w:rPr>
      </w:pPr>
      <w:r w:rsidRPr="00275B47">
        <w:rPr>
          <w:rFonts w:ascii="Arial" w:hAnsi="Arial" w:cs="Arial"/>
          <w:sz w:val="22"/>
          <w:szCs w:val="22"/>
        </w:rPr>
        <w:t>III-A-1a</w:t>
      </w:r>
      <w:r w:rsidR="00D703D5">
        <w:rPr>
          <w:rFonts w:ascii="Arial" w:hAnsi="Arial" w:cs="Arial"/>
          <w:sz w:val="22"/>
          <w:szCs w:val="22"/>
        </w:rPr>
        <w:t>.</w:t>
      </w:r>
      <w:r w:rsidRPr="00275B47">
        <w:rPr>
          <w:rFonts w:ascii="Arial" w:hAnsi="Arial" w:cs="Arial"/>
          <w:sz w:val="22"/>
          <w:szCs w:val="22"/>
        </w:rPr>
        <w:t xml:space="preserve"> Deliberate transfer of a drug resistance trait to microorganisms that are not known to acquire it naturally, if such acquisition could compromise the use of the drug to control disease agents in human or veterinary medicine or agriculture.</w:t>
      </w:r>
    </w:p>
    <w:p w14:paraId="11359703" w14:textId="77777777" w:rsidR="003E5702" w:rsidRPr="00275B47" w:rsidRDefault="003E5702" w:rsidP="003E5702">
      <w:pPr>
        <w:widowControl w:val="0"/>
        <w:autoSpaceDE w:val="0"/>
        <w:autoSpaceDN w:val="0"/>
        <w:adjustRightInd w:val="0"/>
        <w:rPr>
          <w:rFonts w:ascii="Arial" w:hAnsi="Arial" w:cs="Arial"/>
          <w:b/>
          <w:bCs/>
          <w:sz w:val="22"/>
          <w:szCs w:val="22"/>
        </w:rPr>
      </w:pPr>
    </w:p>
    <w:p w14:paraId="2FCF774A" w14:textId="256E375F" w:rsidR="003E5702" w:rsidRPr="00275B47" w:rsidRDefault="003E5702" w:rsidP="003E5702">
      <w:pPr>
        <w:widowControl w:val="0"/>
        <w:autoSpaceDE w:val="0"/>
        <w:autoSpaceDN w:val="0"/>
        <w:adjustRightInd w:val="0"/>
        <w:rPr>
          <w:rFonts w:ascii="Arial" w:hAnsi="Arial" w:cs="Arial"/>
          <w:sz w:val="22"/>
          <w:szCs w:val="22"/>
        </w:rPr>
      </w:pPr>
      <w:r w:rsidRPr="00275B47">
        <w:rPr>
          <w:rFonts w:ascii="Arial" w:hAnsi="Arial" w:cs="Arial"/>
          <w:b/>
          <w:bCs/>
          <w:sz w:val="22"/>
          <w:szCs w:val="22"/>
        </w:rPr>
        <w:t>Section III-B</w:t>
      </w:r>
      <w:r w:rsidR="00D703D5">
        <w:rPr>
          <w:rFonts w:ascii="Arial" w:hAnsi="Arial" w:cs="Arial"/>
          <w:b/>
          <w:bCs/>
          <w:sz w:val="22"/>
          <w:szCs w:val="22"/>
        </w:rPr>
        <w:t>.</w:t>
      </w:r>
      <w:r w:rsidR="00D703D5">
        <w:rPr>
          <w:rFonts w:ascii="Arial" w:hAnsi="Arial" w:cs="Arial"/>
          <w:sz w:val="22"/>
          <w:szCs w:val="22"/>
        </w:rPr>
        <w:t xml:space="preserve"> </w:t>
      </w:r>
      <w:r w:rsidRPr="00275B47">
        <w:rPr>
          <w:rFonts w:ascii="Arial" w:hAnsi="Arial" w:cs="Arial"/>
          <w:b/>
          <w:bCs/>
          <w:sz w:val="22"/>
          <w:szCs w:val="22"/>
        </w:rPr>
        <w:t xml:space="preserve">Experiments that require NIH/ORDA and </w:t>
      </w:r>
      <w:r w:rsidR="00D703D5">
        <w:rPr>
          <w:rFonts w:ascii="Arial" w:hAnsi="Arial" w:cs="Arial"/>
          <w:b/>
          <w:bCs/>
          <w:sz w:val="22"/>
          <w:szCs w:val="22"/>
        </w:rPr>
        <w:t xml:space="preserve">Institutional </w:t>
      </w:r>
      <w:r w:rsidR="00275B47" w:rsidRPr="00275B47">
        <w:rPr>
          <w:rFonts w:ascii="Arial" w:hAnsi="Arial" w:cs="Arial"/>
          <w:b/>
          <w:bCs/>
          <w:sz w:val="22"/>
          <w:szCs w:val="22"/>
        </w:rPr>
        <w:t>Biosafety</w:t>
      </w:r>
      <w:r w:rsidRPr="00275B47">
        <w:rPr>
          <w:rFonts w:ascii="Arial" w:hAnsi="Arial" w:cs="Arial"/>
          <w:b/>
          <w:bCs/>
          <w:sz w:val="22"/>
          <w:szCs w:val="22"/>
        </w:rPr>
        <w:t xml:space="preserve"> Committee approval before the initiation of the experiment.</w:t>
      </w:r>
    </w:p>
    <w:p w14:paraId="452014F2" w14:textId="7F276582"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III-B-1</w:t>
      </w:r>
      <w:r w:rsidR="00D703D5">
        <w:rPr>
          <w:rFonts w:ascii="Arial" w:hAnsi="Arial" w:cs="Arial"/>
          <w:sz w:val="22"/>
          <w:szCs w:val="22"/>
        </w:rPr>
        <w:t>.</w:t>
      </w:r>
      <w:r w:rsidRPr="00275B47">
        <w:rPr>
          <w:rFonts w:ascii="Arial" w:hAnsi="Arial" w:cs="Arial"/>
          <w:sz w:val="22"/>
          <w:szCs w:val="22"/>
        </w:rPr>
        <w:t xml:space="preserve"> Deliberate formation of recombinant DNA containing genes for the biosynthesis of toxin molecules lethal at an LD50 of less than 100 nanograms per kilogram body weight (e.g., microbial toxins such as tetanus toxin).</w:t>
      </w:r>
    </w:p>
    <w:p w14:paraId="4FEEFB92" w14:textId="77777777" w:rsidR="003E5702" w:rsidRPr="00275B47" w:rsidRDefault="003E5702" w:rsidP="003E5702">
      <w:pPr>
        <w:widowControl w:val="0"/>
        <w:autoSpaceDE w:val="0"/>
        <w:autoSpaceDN w:val="0"/>
        <w:adjustRightInd w:val="0"/>
        <w:rPr>
          <w:rFonts w:ascii="Arial" w:hAnsi="Arial" w:cs="Arial"/>
          <w:b/>
          <w:bCs/>
          <w:sz w:val="22"/>
          <w:szCs w:val="22"/>
        </w:rPr>
      </w:pPr>
    </w:p>
    <w:p w14:paraId="24C7B75E" w14:textId="0F109873" w:rsidR="003E5702" w:rsidRPr="00275B47" w:rsidRDefault="003E5702" w:rsidP="003E5702">
      <w:pPr>
        <w:widowControl w:val="0"/>
        <w:autoSpaceDE w:val="0"/>
        <w:autoSpaceDN w:val="0"/>
        <w:adjustRightInd w:val="0"/>
        <w:rPr>
          <w:rFonts w:ascii="Arial" w:hAnsi="Arial" w:cs="Arial"/>
          <w:sz w:val="22"/>
          <w:szCs w:val="22"/>
        </w:rPr>
      </w:pPr>
      <w:r w:rsidRPr="00275B47">
        <w:rPr>
          <w:rFonts w:ascii="Arial" w:hAnsi="Arial" w:cs="Arial"/>
          <w:b/>
          <w:bCs/>
          <w:sz w:val="22"/>
          <w:szCs w:val="22"/>
        </w:rPr>
        <w:t>Section III-C</w:t>
      </w:r>
      <w:r w:rsidR="00D703D5">
        <w:rPr>
          <w:rFonts w:ascii="Arial" w:hAnsi="Arial" w:cs="Arial"/>
          <w:b/>
          <w:bCs/>
          <w:sz w:val="22"/>
          <w:szCs w:val="22"/>
        </w:rPr>
        <w:t xml:space="preserve">. </w:t>
      </w:r>
      <w:r w:rsidRPr="00275B47">
        <w:rPr>
          <w:rFonts w:ascii="Arial" w:hAnsi="Arial" w:cs="Arial"/>
          <w:b/>
          <w:bCs/>
          <w:sz w:val="22"/>
          <w:szCs w:val="22"/>
        </w:rPr>
        <w:t xml:space="preserve">Experiments that require </w:t>
      </w:r>
      <w:r w:rsidR="00D703D5">
        <w:rPr>
          <w:rFonts w:ascii="Arial" w:hAnsi="Arial" w:cs="Arial"/>
          <w:b/>
          <w:bCs/>
          <w:sz w:val="22"/>
          <w:szCs w:val="22"/>
        </w:rPr>
        <w:t xml:space="preserve">Institutional </w:t>
      </w:r>
      <w:r w:rsidR="00275B47" w:rsidRPr="00275B47">
        <w:rPr>
          <w:rFonts w:ascii="Arial" w:hAnsi="Arial" w:cs="Arial"/>
          <w:b/>
          <w:bCs/>
          <w:sz w:val="22"/>
          <w:szCs w:val="22"/>
        </w:rPr>
        <w:t>Bios</w:t>
      </w:r>
      <w:r w:rsidRPr="00275B47">
        <w:rPr>
          <w:rFonts w:ascii="Arial" w:hAnsi="Arial" w:cs="Arial"/>
          <w:b/>
          <w:bCs/>
          <w:sz w:val="22"/>
          <w:szCs w:val="22"/>
        </w:rPr>
        <w:t>afety Committee and Institutional Review Board approvals and NIH/ORDA registration before initiation of experiments.</w:t>
      </w:r>
    </w:p>
    <w:p w14:paraId="1CD260A6" w14:textId="3A80313E"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III-C-1</w:t>
      </w:r>
      <w:r w:rsidR="00D703D5">
        <w:rPr>
          <w:rFonts w:ascii="Arial" w:hAnsi="Arial" w:cs="Arial"/>
          <w:sz w:val="22"/>
          <w:szCs w:val="22"/>
        </w:rPr>
        <w:t>.</w:t>
      </w:r>
      <w:r w:rsidRPr="00275B47">
        <w:rPr>
          <w:rFonts w:ascii="Arial" w:hAnsi="Arial" w:cs="Arial"/>
          <w:sz w:val="22"/>
          <w:szCs w:val="22"/>
        </w:rPr>
        <w:t xml:space="preserve"> Experiments involving the deliberate transfer of recombinant DNA or DNA or RNA derived from recombinant DNA into one or more human subjects.</w:t>
      </w:r>
    </w:p>
    <w:p w14:paraId="1E35F3B2" w14:textId="77777777" w:rsidR="003E5702" w:rsidRPr="00275B47" w:rsidRDefault="003E5702" w:rsidP="003E5702">
      <w:pPr>
        <w:widowControl w:val="0"/>
        <w:autoSpaceDE w:val="0"/>
        <w:autoSpaceDN w:val="0"/>
        <w:adjustRightInd w:val="0"/>
        <w:rPr>
          <w:rFonts w:ascii="Arial" w:hAnsi="Arial" w:cs="Arial"/>
          <w:b/>
          <w:bCs/>
          <w:sz w:val="22"/>
          <w:szCs w:val="22"/>
        </w:rPr>
      </w:pPr>
    </w:p>
    <w:p w14:paraId="21D5419C" w14:textId="0AB5235C" w:rsidR="003E5702" w:rsidRPr="00275B47" w:rsidRDefault="003E5702" w:rsidP="003E5702">
      <w:pPr>
        <w:widowControl w:val="0"/>
        <w:autoSpaceDE w:val="0"/>
        <w:autoSpaceDN w:val="0"/>
        <w:adjustRightInd w:val="0"/>
        <w:rPr>
          <w:rFonts w:ascii="Arial" w:hAnsi="Arial" w:cs="Arial"/>
          <w:sz w:val="22"/>
          <w:szCs w:val="22"/>
        </w:rPr>
      </w:pPr>
      <w:r w:rsidRPr="00275B47">
        <w:rPr>
          <w:rFonts w:ascii="Arial" w:hAnsi="Arial" w:cs="Arial"/>
          <w:b/>
          <w:bCs/>
          <w:sz w:val="22"/>
          <w:szCs w:val="22"/>
        </w:rPr>
        <w:t>Section III-D</w:t>
      </w:r>
      <w:r w:rsidR="00D703D5">
        <w:rPr>
          <w:rFonts w:ascii="Arial" w:hAnsi="Arial" w:cs="Arial"/>
          <w:b/>
          <w:bCs/>
          <w:sz w:val="22"/>
          <w:szCs w:val="22"/>
        </w:rPr>
        <w:t xml:space="preserve">. </w:t>
      </w:r>
      <w:r w:rsidRPr="00275B47">
        <w:rPr>
          <w:rFonts w:ascii="Arial" w:hAnsi="Arial" w:cs="Arial"/>
          <w:b/>
          <w:bCs/>
          <w:sz w:val="22"/>
          <w:szCs w:val="22"/>
        </w:rPr>
        <w:t xml:space="preserve">Experiments that require </w:t>
      </w:r>
      <w:r w:rsidR="00D703D5">
        <w:rPr>
          <w:rFonts w:ascii="Arial" w:hAnsi="Arial" w:cs="Arial"/>
          <w:b/>
          <w:bCs/>
          <w:sz w:val="22"/>
          <w:szCs w:val="22"/>
        </w:rPr>
        <w:t xml:space="preserve">Institutional </w:t>
      </w:r>
      <w:r w:rsidR="00275B47" w:rsidRPr="00275B47">
        <w:rPr>
          <w:rFonts w:ascii="Arial" w:hAnsi="Arial" w:cs="Arial"/>
          <w:b/>
          <w:bCs/>
          <w:sz w:val="22"/>
          <w:szCs w:val="22"/>
        </w:rPr>
        <w:t>Bios</w:t>
      </w:r>
      <w:r w:rsidRPr="00275B47">
        <w:rPr>
          <w:rFonts w:ascii="Arial" w:hAnsi="Arial" w:cs="Arial"/>
          <w:b/>
          <w:bCs/>
          <w:sz w:val="22"/>
          <w:szCs w:val="22"/>
        </w:rPr>
        <w:t>afety Committee approval before initiation of experiments.</w:t>
      </w:r>
    </w:p>
    <w:p w14:paraId="0D42BE90" w14:textId="4A4D710C"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III-D-1</w:t>
      </w:r>
      <w:r w:rsidR="00D703D5">
        <w:rPr>
          <w:rFonts w:ascii="Arial" w:hAnsi="Arial" w:cs="Arial"/>
          <w:sz w:val="22"/>
          <w:szCs w:val="22"/>
        </w:rPr>
        <w:t>.</w:t>
      </w:r>
      <w:r w:rsidRPr="00275B47">
        <w:rPr>
          <w:rFonts w:ascii="Arial" w:hAnsi="Arial" w:cs="Arial"/>
          <w:sz w:val="22"/>
          <w:szCs w:val="22"/>
        </w:rPr>
        <w:t xml:space="preserve"> Experiments using human or animal pathogens (</w:t>
      </w:r>
      <w:r w:rsidR="00D703D5">
        <w:rPr>
          <w:rFonts w:ascii="Arial" w:hAnsi="Arial" w:cs="Arial"/>
          <w:sz w:val="22"/>
          <w:szCs w:val="22"/>
        </w:rPr>
        <w:t>Risk Group 2, 3, or 4</w:t>
      </w:r>
      <w:r w:rsidRPr="00275B47">
        <w:rPr>
          <w:rFonts w:ascii="Arial" w:hAnsi="Arial" w:cs="Arial"/>
          <w:sz w:val="22"/>
          <w:szCs w:val="22"/>
        </w:rPr>
        <w:t xml:space="preserve">) as host vector systems. </w:t>
      </w:r>
    </w:p>
    <w:p w14:paraId="54955954" w14:textId="48C68EC4" w:rsidR="003E5702" w:rsidRPr="00275B47" w:rsidRDefault="003E5702" w:rsidP="00275B47">
      <w:pPr>
        <w:pStyle w:val="ListParagraph"/>
        <w:widowControl w:val="0"/>
        <w:numPr>
          <w:ilvl w:val="1"/>
          <w:numId w:val="5"/>
        </w:numPr>
        <w:autoSpaceDE w:val="0"/>
        <w:autoSpaceDN w:val="0"/>
        <w:adjustRightInd w:val="0"/>
        <w:rPr>
          <w:rFonts w:ascii="Arial" w:hAnsi="Arial" w:cs="Arial"/>
          <w:sz w:val="22"/>
          <w:szCs w:val="22"/>
        </w:rPr>
      </w:pPr>
      <w:r w:rsidRPr="00275B47">
        <w:rPr>
          <w:rFonts w:ascii="Arial" w:hAnsi="Arial" w:cs="Arial"/>
          <w:sz w:val="22"/>
          <w:szCs w:val="22"/>
        </w:rPr>
        <w:t>III-D-1a</w:t>
      </w:r>
      <w:r w:rsidR="00D703D5">
        <w:rPr>
          <w:rFonts w:ascii="Arial" w:hAnsi="Arial" w:cs="Arial"/>
          <w:sz w:val="22"/>
          <w:szCs w:val="22"/>
        </w:rPr>
        <w:t>.</w:t>
      </w:r>
      <w:r w:rsidRPr="00275B47">
        <w:rPr>
          <w:rFonts w:ascii="Arial" w:hAnsi="Arial" w:cs="Arial"/>
          <w:sz w:val="22"/>
          <w:szCs w:val="22"/>
        </w:rPr>
        <w:t xml:space="preserve"> Experiments involving the introduction of recombinant DNA into </w:t>
      </w:r>
      <w:r w:rsidR="00D703D5">
        <w:rPr>
          <w:rFonts w:ascii="Arial" w:hAnsi="Arial" w:cs="Arial"/>
          <w:sz w:val="22"/>
          <w:szCs w:val="22"/>
        </w:rPr>
        <w:t>Risk Group</w:t>
      </w:r>
      <w:r w:rsidRPr="00275B47">
        <w:rPr>
          <w:rFonts w:ascii="Arial" w:hAnsi="Arial" w:cs="Arial"/>
          <w:sz w:val="22"/>
          <w:szCs w:val="22"/>
        </w:rPr>
        <w:t xml:space="preserve"> 2 agents carried out at </w:t>
      </w:r>
      <w:r w:rsidR="00D703D5">
        <w:rPr>
          <w:rFonts w:ascii="Arial" w:hAnsi="Arial" w:cs="Arial"/>
          <w:sz w:val="22"/>
          <w:szCs w:val="22"/>
        </w:rPr>
        <w:t>BSL-2</w:t>
      </w:r>
      <w:r w:rsidRPr="00275B47">
        <w:rPr>
          <w:rFonts w:ascii="Arial" w:hAnsi="Arial" w:cs="Arial"/>
          <w:sz w:val="22"/>
          <w:szCs w:val="22"/>
        </w:rPr>
        <w:t xml:space="preserve"> containment.</w:t>
      </w:r>
    </w:p>
    <w:p w14:paraId="4B8E75A3" w14:textId="6E97D0D5"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III-D-2</w:t>
      </w:r>
      <w:r w:rsidR="003B24C2">
        <w:rPr>
          <w:rFonts w:ascii="Arial" w:hAnsi="Arial" w:cs="Arial"/>
          <w:sz w:val="22"/>
          <w:szCs w:val="22"/>
        </w:rPr>
        <w:t>.</w:t>
      </w:r>
      <w:r w:rsidRPr="00275B47">
        <w:rPr>
          <w:rFonts w:ascii="Arial" w:hAnsi="Arial" w:cs="Arial"/>
          <w:sz w:val="22"/>
          <w:szCs w:val="22"/>
        </w:rPr>
        <w:t xml:space="preserve"> Experiments in which DNA from human or animal pathogens (</w:t>
      </w:r>
      <w:r w:rsidR="00D703D5">
        <w:rPr>
          <w:rFonts w:ascii="Arial" w:hAnsi="Arial" w:cs="Arial"/>
          <w:sz w:val="22"/>
          <w:szCs w:val="22"/>
        </w:rPr>
        <w:t>Risk Group 2, 3, or 4</w:t>
      </w:r>
      <w:r w:rsidRPr="00275B47">
        <w:rPr>
          <w:rFonts w:ascii="Arial" w:hAnsi="Arial" w:cs="Arial"/>
          <w:sz w:val="22"/>
          <w:szCs w:val="22"/>
        </w:rPr>
        <w:t xml:space="preserve">) is cloned in nonpathogenic prokaryotic or lower eukaryotic host-vector systems. </w:t>
      </w:r>
    </w:p>
    <w:p w14:paraId="3343CFC6" w14:textId="5133736A" w:rsidR="003E5702" w:rsidRPr="00275B47" w:rsidRDefault="003E5702" w:rsidP="00275B47">
      <w:pPr>
        <w:pStyle w:val="ListParagraph"/>
        <w:widowControl w:val="0"/>
        <w:numPr>
          <w:ilvl w:val="1"/>
          <w:numId w:val="5"/>
        </w:numPr>
        <w:autoSpaceDE w:val="0"/>
        <w:autoSpaceDN w:val="0"/>
        <w:adjustRightInd w:val="0"/>
        <w:rPr>
          <w:rFonts w:ascii="Arial" w:hAnsi="Arial" w:cs="Arial"/>
          <w:sz w:val="22"/>
          <w:szCs w:val="22"/>
        </w:rPr>
      </w:pPr>
      <w:r w:rsidRPr="00275B47">
        <w:rPr>
          <w:rFonts w:ascii="Arial" w:hAnsi="Arial" w:cs="Arial"/>
          <w:sz w:val="22"/>
          <w:szCs w:val="22"/>
        </w:rPr>
        <w:t>III-D-2a</w:t>
      </w:r>
      <w:r w:rsidR="003B24C2">
        <w:rPr>
          <w:rFonts w:ascii="Arial" w:hAnsi="Arial" w:cs="Arial"/>
          <w:sz w:val="22"/>
          <w:szCs w:val="22"/>
        </w:rPr>
        <w:t>.</w:t>
      </w:r>
      <w:r w:rsidRPr="00275B47">
        <w:rPr>
          <w:rFonts w:ascii="Arial" w:hAnsi="Arial" w:cs="Arial"/>
          <w:sz w:val="22"/>
          <w:szCs w:val="22"/>
        </w:rPr>
        <w:t xml:space="preserve"> Experiments in which DNA from Class 2 or Class 3 Agents is transferred into nonpathogenic prokaryotes or lower eukaryotes carried out at </w:t>
      </w:r>
      <w:r w:rsidR="00D703D5">
        <w:rPr>
          <w:rFonts w:ascii="Arial" w:hAnsi="Arial" w:cs="Arial"/>
          <w:sz w:val="22"/>
          <w:szCs w:val="22"/>
        </w:rPr>
        <w:t>BSL-2</w:t>
      </w:r>
      <w:r w:rsidRPr="00275B47">
        <w:rPr>
          <w:rFonts w:ascii="Arial" w:hAnsi="Arial" w:cs="Arial"/>
          <w:sz w:val="22"/>
          <w:szCs w:val="22"/>
        </w:rPr>
        <w:t xml:space="preserve"> containment. </w:t>
      </w:r>
      <w:r w:rsidR="00D703D5">
        <w:rPr>
          <w:rFonts w:ascii="Arial" w:hAnsi="Arial" w:cs="Arial"/>
          <w:sz w:val="22"/>
          <w:szCs w:val="22"/>
        </w:rPr>
        <w:t>The Institutional Biosafety Committee may approve the specific lowering of containment for particular experiments to BSL-1.</w:t>
      </w:r>
    </w:p>
    <w:p w14:paraId="4B86B0E7" w14:textId="3DDF830C"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III-D-3</w:t>
      </w:r>
      <w:r w:rsidR="003B24C2">
        <w:rPr>
          <w:rFonts w:ascii="Arial" w:hAnsi="Arial" w:cs="Arial"/>
          <w:sz w:val="22"/>
          <w:szCs w:val="22"/>
        </w:rPr>
        <w:t>.</w:t>
      </w:r>
      <w:r w:rsidRPr="00275B47">
        <w:rPr>
          <w:rFonts w:ascii="Arial" w:hAnsi="Arial" w:cs="Arial"/>
          <w:sz w:val="22"/>
          <w:szCs w:val="22"/>
        </w:rPr>
        <w:t xml:space="preserve"> Experiments involving the use of infectious DNA or RNA viruses or defective DNA or RNA viruses in the presence helper virus in tissue culture systems. </w:t>
      </w:r>
    </w:p>
    <w:p w14:paraId="093D5CD2" w14:textId="42B33F85" w:rsidR="003E5702" w:rsidRPr="00275B47" w:rsidRDefault="003E5702" w:rsidP="00275B47">
      <w:pPr>
        <w:pStyle w:val="ListParagraph"/>
        <w:widowControl w:val="0"/>
        <w:numPr>
          <w:ilvl w:val="1"/>
          <w:numId w:val="5"/>
        </w:numPr>
        <w:autoSpaceDE w:val="0"/>
        <w:autoSpaceDN w:val="0"/>
        <w:adjustRightInd w:val="0"/>
        <w:rPr>
          <w:rFonts w:ascii="Arial" w:hAnsi="Arial" w:cs="Arial"/>
          <w:sz w:val="22"/>
          <w:szCs w:val="22"/>
        </w:rPr>
      </w:pPr>
      <w:r w:rsidRPr="00275B47">
        <w:rPr>
          <w:rFonts w:ascii="Arial" w:hAnsi="Arial" w:cs="Arial"/>
          <w:sz w:val="22"/>
          <w:szCs w:val="22"/>
        </w:rPr>
        <w:t>III-D-3a</w:t>
      </w:r>
      <w:r w:rsidR="003B24C2">
        <w:rPr>
          <w:rFonts w:ascii="Arial" w:hAnsi="Arial" w:cs="Arial"/>
          <w:sz w:val="22"/>
          <w:szCs w:val="22"/>
        </w:rPr>
        <w:t>.</w:t>
      </w:r>
      <w:r w:rsidRPr="00275B47">
        <w:rPr>
          <w:rFonts w:ascii="Arial" w:hAnsi="Arial" w:cs="Arial"/>
          <w:sz w:val="22"/>
          <w:szCs w:val="22"/>
        </w:rPr>
        <w:t xml:space="preserve"> Experiments involving the use of infectious or defective </w:t>
      </w:r>
      <w:r w:rsidR="003B24C2">
        <w:rPr>
          <w:rFonts w:ascii="Arial" w:hAnsi="Arial" w:cs="Arial"/>
          <w:sz w:val="22"/>
          <w:szCs w:val="22"/>
        </w:rPr>
        <w:t>Risk Group</w:t>
      </w:r>
      <w:r w:rsidRPr="00275B47">
        <w:rPr>
          <w:rFonts w:ascii="Arial" w:hAnsi="Arial" w:cs="Arial"/>
          <w:sz w:val="22"/>
          <w:szCs w:val="22"/>
        </w:rPr>
        <w:t xml:space="preserve"> 2 animal viruses in the presence of helper virus performed at </w:t>
      </w:r>
      <w:r w:rsidR="003B24C2">
        <w:rPr>
          <w:rFonts w:ascii="Arial" w:hAnsi="Arial" w:cs="Arial"/>
          <w:sz w:val="22"/>
          <w:szCs w:val="22"/>
        </w:rPr>
        <w:t>BSL-2</w:t>
      </w:r>
      <w:r w:rsidRPr="00275B47">
        <w:rPr>
          <w:rFonts w:ascii="Arial" w:hAnsi="Arial" w:cs="Arial"/>
          <w:sz w:val="22"/>
          <w:szCs w:val="22"/>
        </w:rPr>
        <w:t xml:space="preserve"> containment. </w:t>
      </w:r>
    </w:p>
    <w:p w14:paraId="38D014C9" w14:textId="0E492B53"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III-D-4</w:t>
      </w:r>
      <w:r w:rsidR="003B24C2">
        <w:rPr>
          <w:rFonts w:ascii="Arial" w:hAnsi="Arial" w:cs="Arial"/>
          <w:sz w:val="22"/>
          <w:szCs w:val="22"/>
        </w:rPr>
        <w:t>.</w:t>
      </w:r>
      <w:r w:rsidRPr="00275B47">
        <w:rPr>
          <w:rFonts w:ascii="Arial" w:hAnsi="Arial" w:cs="Arial"/>
          <w:sz w:val="22"/>
          <w:szCs w:val="22"/>
        </w:rPr>
        <w:t xml:space="preserve"> Experiments involving whole animals in which the animal's genome has been altered by stable introduction of recombinant DNA, or DNA derived therefrom, into the germ-line (transgenic animals) and experiments involving viable recombinant DNA-modified microorganisms tested on whole animals. </w:t>
      </w:r>
    </w:p>
    <w:p w14:paraId="21BA3E36" w14:textId="66084177" w:rsidR="003E5702" w:rsidRPr="00275B47" w:rsidRDefault="003E5702" w:rsidP="00275B47">
      <w:pPr>
        <w:pStyle w:val="ListParagraph"/>
        <w:widowControl w:val="0"/>
        <w:numPr>
          <w:ilvl w:val="1"/>
          <w:numId w:val="5"/>
        </w:numPr>
        <w:autoSpaceDE w:val="0"/>
        <w:autoSpaceDN w:val="0"/>
        <w:adjustRightInd w:val="0"/>
        <w:rPr>
          <w:rFonts w:ascii="Arial" w:hAnsi="Arial" w:cs="Arial"/>
          <w:sz w:val="22"/>
          <w:szCs w:val="22"/>
        </w:rPr>
      </w:pPr>
      <w:r w:rsidRPr="00275B47">
        <w:rPr>
          <w:rFonts w:ascii="Arial" w:hAnsi="Arial" w:cs="Arial"/>
          <w:sz w:val="22"/>
          <w:szCs w:val="22"/>
        </w:rPr>
        <w:t>III-D-4a</w:t>
      </w:r>
      <w:r w:rsidR="003B24C2">
        <w:rPr>
          <w:rFonts w:ascii="Arial" w:hAnsi="Arial" w:cs="Arial"/>
          <w:sz w:val="22"/>
          <w:szCs w:val="22"/>
        </w:rPr>
        <w:t>.</w:t>
      </w:r>
      <w:r w:rsidRPr="00275B47">
        <w:rPr>
          <w:rFonts w:ascii="Arial" w:hAnsi="Arial" w:cs="Arial"/>
          <w:sz w:val="22"/>
          <w:szCs w:val="22"/>
        </w:rPr>
        <w:t xml:space="preserve"> Recombinant DNA, or DNA or RNA molecules derived therefrom, from any source except for greater than two-thirds of eukaryotic viral genome may be transferred to any non-human vertebrate or any invertebrate organism and propagated under conditions of physical containment comparable to </w:t>
      </w:r>
      <w:r w:rsidR="003B24C2">
        <w:rPr>
          <w:rFonts w:ascii="Arial" w:hAnsi="Arial" w:cs="Arial"/>
          <w:sz w:val="22"/>
          <w:szCs w:val="22"/>
        </w:rPr>
        <w:t>BSL-1</w:t>
      </w:r>
      <w:r w:rsidRPr="00275B47">
        <w:rPr>
          <w:rFonts w:ascii="Arial" w:hAnsi="Arial" w:cs="Arial"/>
          <w:sz w:val="22"/>
          <w:szCs w:val="22"/>
        </w:rPr>
        <w:t xml:space="preserve"> and appropriate to the organism under study.</w:t>
      </w:r>
    </w:p>
    <w:p w14:paraId="00F15345" w14:textId="65B266D3" w:rsidR="003E5702" w:rsidRPr="00275B47" w:rsidRDefault="003E5702" w:rsidP="00275B47">
      <w:pPr>
        <w:pStyle w:val="ListParagraph"/>
        <w:widowControl w:val="0"/>
        <w:numPr>
          <w:ilvl w:val="1"/>
          <w:numId w:val="5"/>
        </w:numPr>
        <w:autoSpaceDE w:val="0"/>
        <w:autoSpaceDN w:val="0"/>
        <w:adjustRightInd w:val="0"/>
        <w:rPr>
          <w:rFonts w:ascii="Arial" w:hAnsi="Arial" w:cs="Arial"/>
          <w:sz w:val="22"/>
          <w:szCs w:val="22"/>
        </w:rPr>
      </w:pPr>
      <w:r w:rsidRPr="00275B47">
        <w:rPr>
          <w:rFonts w:ascii="Arial" w:hAnsi="Arial" w:cs="Arial"/>
          <w:sz w:val="22"/>
          <w:szCs w:val="22"/>
        </w:rPr>
        <w:t>III-D-4b</w:t>
      </w:r>
      <w:r w:rsidR="003B24C2">
        <w:rPr>
          <w:rFonts w:ascii="Arial" w:hAnsi="Arial" w:cs="Arial"/>
          <w:sz w:val="22"/>
          <w:szCs w:val="22"/>
        </w:rPr>
        <w:t>.</w:t>
      </w:r>
      <w:r w:rsidRPr="00275B47">
        <w:rPr>
          <w:rFonts w:ascii="Arial" w:hAnsi="Arial" w:cs="Arial"/>
          <w:sz w:val="22"/>
          <w:szCs w:val="22"/>
        </w:rPr>
        <w:t xml:space="preserve"> Experiments involving recombinant DNA, or DNA or RNA derived therefrom, involving whole animals, including transgenic animals, and not covered by Sections III-D-1 or </w:t>
      </w:r>
      <w:r w:rsidR="003B24C2">
        <w:rPr>
          <w:rFonts w:ascii="Arial" w:hAnsi="Arial" w:cs="Arial"/>
          <w:sz w:val="22"/>
          <w:szCs w:val="22"/>
        </w:rPr>
        <w:t>III-D-4a,</w:t>
      </w:r>
      <w:r w:rsidRPr="00275B47">
        <w:rPr>
          <w:rFonts w:ascii="Arial" w:hAnsi="Arial" w:cs="Arial"/>
          <w:sz w:val="22"/>
          <w:szCs w:val="22"/>
        </w:rPr>
        <w:t xml:space="preserve"> carried out at the appropriate containment determined by the </w:t>
      </w:r>
      <w:r w:rsidR="003B24C2">
        <w:rPr>
          <w:rFonts w:ascii="Arial" w:hAnsi="Arial" w:cs="Arial"/>
          <w:sz w:val="22"/>
          <w:szCs w:val="22"/>
        </w:rPr>
        <w:t>Institutional Biosafety</w:t>
      </w:r>
      <w:r w:rsidRPr="00275B47">
        <w:rPr>
          <w:rFonts w:ascii="Arial" w:hAnsi="Arial" w:cs="Arial"/>
          <w:sz w:val="22"/>
          <w:szCs w:val="22"/>
        </w:rPr>
        <w:t xml:space="preserve"> Committee.</w:t>
      </w:r>
    </w:p>
    <w:p w14:paraId="451433A4" w14:textId="081FA7EA" w:rsidR="003E5702" w:rsidRPr="00275B47" w:rsidRDefault="003E5702" w:rsidP="00275B47">
      <w:pPr>
        <w:pStyle w:val="ListParagraph"/>
        <w:widowControl w:val="0"/>
        <w:numPr>
          <w:ilvl w:val="1"/>
          <w:numId w:val="5"/>
        </w:numPr>
        <w:autoSpaceDE w:val="0"/>
        <w:autoSpaceDN w:val="0"/>
        <w:adjustRightInd w:val="0"/>
        <w:rPr>
          <w:rFonts w:ascii="Arial" w:hAnsi="Arial" w:cs="Arial"/>
          <w:sz w:val="22"/>
          <w:szCs w:val="22"/>
        </w:rPr>
      </w:pPr>
      <w:r w:rsidRPr="00275B47">
        <w:rPr>
          <w:rFonts w:ascii="Arial" w:hAnsi="Arial" w:cs="Arial"/>
          <w:sz w:val="22"/>
          <w:szCs w:val="22"/>
        </w:rPr>
        <w:lastRenderedPageBreak/>
        <w:t>III-D-4c</w:t>
      </w:r>
      <w:r w:rsidR="003B24C2">
        <w:rPr>
          <w:rFonts w:ascii="Arial" w:hAnsi="Arial" w:cs="Arial"/>
          <w:sz w:val="22"/>
          <w:szCs w:val="22"/>
        </w:rPr>
        <w:t>.</w:t>
      </w:r>
      <w:r w:rsidRPr="00275B47">
        <w:rPr>
          <w:rFonts w:ascii="Arial" w:hAnsi="Arial" w:cs="Arial"/>
          <w:sz w:val="22"/>
          <w:szCs w:val="22"/>
        </w:rPr>
        <w:t xml:space="preserve"> Exceptions under Section III-D-4 </w:t>
      </w:r>
    </w:p>
    <w:p w14:paraId="330DEF8D" w14:textId="5C250423" w:rsidR="003E5702" w:rsidRPr="00275B47" w:rsidRDefault="003E5702" w:rsidP="00275B47">
      <w:pPr>
        <w:pStyle w:val="ListParagraph"/>
        <w:widowControl w:val="0"/>
        <w:numPr>
          <w:ilvl w:val="2"/>
          <w:numId w:val="5"/>
        </w:numPr>
        <w:autoSpaceDE w:val="0"/>
        <w:autoSpaceDN w:val="0"/>
        <w:adjustRightInd w:val="0"/>
        <w:rPr>
          <w:rFonts w:ascii="Arial" w:hAnsi="Arial" w:cs="Arial"/>
          <w:sz w:val="22"/>
          <w:szCs w:val="22"/>
        </w:rPr>
      </w:pPr>
      <w:r w:rsidRPr="00275B47">
        <w:rPr>
          <w:rFonts w:ascii="Arial" w:hAnsi="Arial" w:cs="Arial"/>
          <w:sz w:val="22"/>
          <w:szCs w:val="22"/>
        </w:rPr>
        <w:t>III-D-4c(1)</w:t>
      </w:r>
      <w:r w:rsidR="003B24C2">
        <w:rPr>
          <w:rFonts w:ascii="Arial" w:hAnsi="Arial" w:cs="Arial"/>
          <w:sz w:val="22"/>
          <w:szCs w:val="22"/>
        </w:rPr>
        <w:t>.</w:t>
      </w:r>
      <w:r w:rsidRPr="00275B47">
        <w:rPr>
          <w:rFonts w:ascii="Arial" w:hAnsi="Arial" w:cs="Arial"/>
          <w:sz w:val="22"/>
          <w:szCs w:val="22"/>
        </w:rPr>
        <w:t xml:space="preserve"> Experiments involving the generation of transgenic rodents that require B</w:t>
      </w:r>
      <w:r w:rsidR="003B24C2">
        <w:rPr>
          <w:rFonts w:ascii="Arial" w:hAnsi="Arial" w:cs="Arial"/>
          <w:sz w:val="22"/>
          <w:szCs w:val="22"/>
        </w:rPr>
        <w:t>S</w:t>
      </w:r>
      <w:r w:rsidRPr="00275B47">
        <w:rPr>
          <w:rFonts w:ascii="Arial" w:hAnsi="Arial" w:cs="Arial"/>
          <w:sz w:val="22"/>
          <w:szCs w:val="22"/>
        </w:rPr>
        <w:t>L</w:t>
      </w:r>
      <w:r w:rsidR="003B24C2">
        <w:rPr>
          <w:rFonts w:ascii="Arial" w:hAnsi="Arial" w:cs="Arial"/>
          <w:sz w:val="22"/>
          <w:szCs w:val="22"/>
        </w:rPr>
        <w:t>-</w:t>
      </w:r>
      <w:r w:rsidRPr="00275B47">
        <w:rPr>
          <w:rFonts w:ascii="Arial" w:hAnsi="Arial" w:cs="Arial"/>
          <w:sz w:val="22"/>
          <w:szCs w:val="22"/>
        </w:rPr>
        <w:t xml:space="preserve">1 containment are described under section III-E-3. </w:t>
      </w:r>
    </w:p>
    <w:p w14:paraId="38ABB26A" w14:textId="698EA709" w:rsidR="003E5702" w:rsidRPr="00275B47" w:rsidRDefault="003E5702" w:rsidP="00275B47">
      <w:pPr>
        <w:pStyle w:val="ListParagraph"/>
        <w:widowControl w:val="0"/>
        <w:numPr>
          <w:ilvl w:val="2"/>
          <w:numId w:val="5"/>
        </w:numPr>
        <w:autoSpaceDE w:val="0"/>
        <w:autoSpaceDN w:val="0"/>
        <w:adjustRightInd w:val="0"/>
        <w:rPr>
          <w:rFonts w:ascii="Arial" w:hAnsi="Arial" w:cs="Arial"/>
          <w:sz w:val="22"/>
          <w:szCs w:val="22"/>
        </w:rPr>
      </w:pPr>
      <w:r w:rsidRPr="00275B47">
        <w:rPr>
          <w:rFonts w:ascii="Arial" w:hAnsi="Arial" w:cs="Arial"/>
          <w:sz w:val="22"/>
          <w:szCs w:val="22"/>
        </w:rPr>
        <w:t>III-D-4c(2)</w:t>
      </w:r>
      <w:r w:rsidR="003B24C2">
        <w:rPr>
          <w:rFonts w:ascii="Arial" w:hAnsi="Arial" w:cs="Arial"/>
          <w:sz w:val="22"/>
          <w:szCs w:val="22"/>
        </w:rPr>
        <w:t>.</w:t>
      </w:r>
      <w:r w:rsidRPr="00275B47">
        <w:rPr>
          <w:rFonts w:ascii="Arial" w:hAnsi="Arial" w:cs="Arial"/>
          <w:sz w:val="22"/>
          <w:szCs w:val="22"/>
        </w:rPr>
        <w:t xml:space="preserve"> The purchase or transfer of transgenic rodents is exempt from the NIH Guidelines under section III-F. </w:t>
      </w:r>
    </w:p>
    <w:p w14:paraId="2DE85D35" w14:textId="131C8FEE"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III-D-5</w:t>
      </w:r>
      <w:r w:rsidR="003B24C2">
        <w:rPr>
          <w:rFonts w:ascii="Arial" w:hAnsi="Arial" w:cs="Arial"/>
          <w:sz w:val="22"/>
          <w:szCs w:val="22"/>
        </w:rPr>
        <w:t>.</w:t>
      </w:r>
      <w:r w:rsidRPr="00275B47">
        <w:rPr>
          <w:rFonts w:ascii="Arial" w:hAnsi="Arial" w:cs="Arial"/>
          <w:sz w:val="22"/>
          <w:szCs w:val="22"/>
        </w:rPr>
        <w:t xml:space="preserve"> Experiments to genetically engineer plants by recombinant DNA methods, to use such plants for other experimental purposes,(e.g., response to stress), to propagate such plants, or to use plants together with microorganisms or insects containing recombinant DNA, conducted under the containment conditions described in Sections III-D-5a through III-D-5e.</w:t>
      </w:r>
    </w:p>
    <w:p w14:paraId="6CBE904E" w14:textId="74B53CCB"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III-D-6</w:t>
      </w:r>
      <w:r w:rsidR="003B24C2">
        <w:rPr>
          <w:rFonts w:ascii="Arial" w:hAnsi="Arial" w:cs="Arial"/>
          <w:sz w:val="22"/>
          <w:szCs w:val="22"/>
        </w:rPr>
        <w:t>.</w:t>
      </w:r>
      <w:r w:rsidRPr="00275B47">
        <w:rPr>
          <w:rFonts w:ascii="Arial" w:hAnsi="Arial" w:cs="Arial"/>
          <w:sz w:val="22"/>
          <w:szCs w:val="22"/>
        </w:rPr>
        <w:t xml:space="preserve"> Experiments involving more than 10 liters of culture. The appropriate containment will be decided by </w:t>
      </w:r>
      <w:r w:rsidR="00275B47">
        <w:rPr>
          <w:rFonts w:ascii="Arial" w:hAnsi="Arial" w:cs="Arial"/>
          <w:sz w:val="22"/>
          <w:szCs w:val="22"/>
        </w:rPr>
        <w:t xml:space="preserve">the </w:t>
      </w:r>
      <w:r w:rsidR="003B24C2">
        <w:rPr>
          <w:rFonts w:ascii="Arial" w:hAnsi="Arial" w:cs="Arial"/>
          <w:sz w:val="22"/>
          <w:szCs w:val="22"/>
        </w:rPr>
        <w:t xml:space="preserve">Institutional </w:t>
      </w:r>
      <w:r w:rsidR="00275B47">
        <w:rPr>
          <w:rFonts w:ascii="Arial" w:hAnsi="Arial" w:cs="Arial"/>
          <w:sz w:val="22"/>
          <w:szCs w:val="22"/>
        </w:rPr>
        <w:t xml:space="preserve">Biosafety Committee. </w:t>
      </w:r>
    </w:p>
    <w:p w14:paraId="16D2BD79" w14:textId="77777777" w:rsidR="003E5702" w:rsidRPr="00275B47" w:rsidRDefault="003E5702" w:rsidP="003E5702">
      <w:pPr>
        <w:widowControl w:val="0"/>
        <w:autoSpaceDE w:val="0"/>
        <w:autoSpaceDN w:val="0"/>
        <w:adjustRightInd w:val="0"/>
        <w:rPr>
          <w:rFonts w:ascii="Arial" w:hAnsi="Arial" w:cs="Arial"/>
          <w:b/>
          <w:bCs/>
          <w:sz w:val="22"/>
          <w:szCs w:val="22"/>
        </w:rPr>
      </w:pPr>
    </w:p>
    <w:p w14:paraId="1BD5A62A" w14:textId="7EBED428" w:rsidR="003E5702" w:rsidRPr="00275B47" w:rsidRDefault="003E5702" w:rsidP="003E5702">
      <w:pPr>
        <w:widowControl w:val="0"/>
        <w:autoSpaceDE w:val="0"/>
        <w:autoSpaceDN w:val="0"/>
        <w:adjustRightInd w:val="0"/>
        <w:rPr>
          <w:rFonts w:ascii="Arial" w:hAnsi="Arial" w:cs="Arial"/>
          <w:sz w:val="22"/>
          <w:szCs w:val="22"/>
        </w:rPr>
      </w:pPr>
      <w:r w:rsidRPr="00275B47">
        <w:rPr>
          <w:rFonts w:ascii="Arial" w:hAnsi="Arial" w:cs="Arial"/>
          <w:b/>
          <w:bCs/>
          <w:sz w:val="22"/>
          <w:szCs w:val="22"/>
        </w:rPr>
        <w:t>Section III-E</w:t>
      </w:r>
      <w:r w:rsidR="003B24C2">
        <w:rPr>
          <w:rFonts w:ascii="Arial" w:hAnsi="Arial" w:cs="Arial"/>
          <w:b/>
          <w:bCs/>
          <w:sz w:val="22"/>
          <w:szCs w:val="22"/>
        </w:rPr>
        <w:t xml:space="preserve">. </w:t>
      </w:r>
      <w:r w:rsidRPr="00275B47">
        <w:rPr>
          <w:rFonts w:ascii="Arial" w:hAnsi="Arial" w:cs="Arial"/>
          <w:b/>
          <w:bCs/>
          <w:sz w:val="22"/>
          <w:szCs w:val="22"/>
        </w:rPr>
        <w:t xml:space="preserve">Experiments that require </w:t>
      </w:r>
      <w:r w:rsidR="003B24C2">
        <w:rPr>
          <w:rFonts w:ascii="Arial" w:hAnsi="Arial" w:cs="Arial"/>
          <w:b/>
          <w:bCs/>
          <w:sz w:val="22"/>
          <w:szCs w:val="22"/>
        </w:rPr>
        <w:t xml:space="preserve">Institutional </w:t>
      </w:r>
      <w:r w:rsidR="00275B47" w:rsidRPr="00275B47">
        <w:rPr>
          <w:rFonts w:ascii="Arial" w:hAnsi="Arial" w:cs="Arial"/>
          <w:b/>
          <w:bCs/>
          <w:sz w:val="22"/>
          <w:szCs w:val="22"/>
        </w:rPr>
        <w:t>Biosafety</w:t>
      </w:r>
      <w:r w:rsidRPr="00275B47">
        <w:rPr>
          <w:rFonts w:ascii="Arial" w:hAnsi="Arial" w:cs="Arial"/>
          <w:b/>
          <w:bCs/>
          <w:sz w:val="22"/>
          <w:szCs w:val="22"/>
        </w:rPr>
        <w:t xml:space="preserve"> Committee notice simultaneously with initiation.</w:t>
      </w:r>
    </w:p>
    <w:p w14:paraId="6E544B75" w14:textId="79DE105E"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III-E-1</w:t>
      </w:r>
      <w:r w:rsidR="003B24C2">
        <w:rPr>
          <w:rFonts w:ascii="Arial" w:hAnsi="Arial" w:cs="Arial"/>
          <w:sz w:val="22"/>
          <w:szCs w:val="22"/>
        </w:rPr>
        <w:t>.</w:t>
      </w:r>
      <w:r w:rsidRPr="00275B47">
        <w:rPr>
          <w:rFonts w:ascii="Arial" w:hAnsi="Arial" w:cs="Arial"/>
          <w:sz w:val="22"/>
          <w:szCs w:val="22"/>
        </w:rPr>
        <w:t xml:space="preserve"> Experiments involving the formation of recombinant DNA molecules containing no more than two-thirds of the genome of any eukaryotic virus.</w:t>
      </w:r>
    </w:p>
    <w:p w14:paraId="32DFBC2B" w14:textId="012477F1"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III-E-2</w:t>
      </w:r>
      <w:r w:rsidR="0026097F">
        <w:rPr>
          <w:rFonts w:ascii="Arial" w:hAnsi="Arial" w:cs="Arial"/>
          <w:sz w:val="22"/>
          <w:szCs w:val="22"/>
        </w:rPr>
        <w:t>.</w:t>
      </w:r>
      <w:r w:rsidRPr="00275B47">
        <w:rPr>
          <w:rFonts w:ascii="Arial" w:hAnsi="Arial" w:cs="Arial"/>
          <w:sz w:val="22"/>
          <w:szCs w:val="22"/>
        </w:rPr>
        <w:t xml:space="preserve"> Experiments involving whole plants </w:t>
      </w:r>
      <w:r w:rsidR="00275B47">
        <w:rPr>
          <w:rFonts w:ascii="Arial" w:hAnsi="Arial" w:cs="Arial"/>
          <w:sz w:val="22"/>
          <w:szCs w:val="22"/>
        </w:rPr>
        <w:t>that</w:t>
      </w:r>
      <w:r w:rsidRPr="00275B47">
        <w:rPr>
          <w:rFonts w:ascii="Arial" w:hAnsi="Arial" w:cs="Arial"/>
          <w:sz w:val="22"/>
          <w:szCs w:val="22"/>
        </w:rPr>
        <w:t xml:space="preserve"> are not covered under any other section of the Guidelines. </w:t>
      </w:r>
    </w:p>
    <w:p w14:paraId="4C42906B" w14:textId="002DCE89" w:rsidR="003E5702" w:rsidRPr="00275B47" w:rsidRDefault="003E5702" w:rsidP="00275B47">
      <w:pPr>
        <w:pStyle w:val="ListParagraph"/>
        <w:widowControl w:val="0"/>
        <w:numPr>
          <w:ilvl w:val="1"/>
          <w:numId w:val="5"/>
        </w:numPr>
        <w:autoSpaceDE w:val="0"/>
        <w:autoSpaceDN w:val="0"/>
        <w:adjustRightInd w:val="0"/>
        <w:rPr>
          <w:rFonts w:ascii="Arial" w:hAnsi="Arial" w:cs="Arial"/>
          <w:sz w:val="22"/>
          <w:szCs w:val="22"/>
        </w:rPr>
      </w:pPr>
      <w:r w:rsidRPr="00275B47">
        <w:rPr>
          <w:rFonts w:ascii="Arial" w:hAnsi="Arial" w:cs="Arial"/>
          <w:sz w:val="22"/>
          <w:szCs w:val="22"/>
        </w:rPr>
        <w:t>III-E-2a</w:t>
      </w:r>
      <w:r w:rsidR="0026097F">
        <w:rPr>
          <w:rFonts w:ascii="Arial" w:hAnsi="Arial" w:cs="Arial"/>
          <w:sz w:val="22"/>
          <w:szCs w:val="22"/>
        </w:rPr>
        <w:t>.</w:t>
      </w:r>
      <w:r w:rsidRPr="00275B47">
        <w:rPr>
          <w:rFonts w:ascii="Arial" w:hAnsi="Arial" w:cs="Arial"/>
          <w:sz w:val="22"/>
          <w:szCs w:val="22"/>
        </w:rPr>
        <w:t xml:space="preserve"> B</w:t>
      </w:r>
      <w:r w:rsidR="0026097F">
        <w:rPr>
          <w:rFonts w:ascii="Arial" w:hAnsi="Arial" w:cs="Arial"/>
          <w:sz w:val="22"/>
          <w:szCs w:val="22"/>
        </w:rPr>
        <w:t>S</w:t>
      </w:r>
      <w:r w:rsidRPr="00275B47">
        <w:rPr>
          <w:rFonts w:ascii="Arial" w:hAnsi="Arial" w:cs="Arial"/>
          <w:sz w:val="22"/>
          <w:szCs w:val="22"/>
        </w:rPr>
        <w:t>L</w:t>
      </w:r>
      <w:r w:rsidR="0026097F">
        <w:rPr>
          <w:rFonts w:ascii="Arial" w:hAnsi="Arial" w:cs="Arial"/>
          <w:sz w:val="22"/>
          <w:szCs w:val="22"/>
        </w:rPr>
        <w:t>-</w:t>
      </w:r>
      <w:r w:rsidRPr="00275B47">
        <w:rPr>
          <w:rFonts w:ascii="Arial" w:hAnsi="Arial" w:cs="Arial"/>
          <w:sz w:val="22"/>
          <w:szCs w:val="22"/>
        </w:rPr>
        <w:t xml:space="preserve">1-P is recommended for all experiments with recombinant DNA-containing plants and plant-associated microorganisms not covered in Section III-E-2b or other sections of the NIH Guidelines. Examples of such experiments are those involving recombinant DNA-modified plants that are not noxious weeds or that cannot interbreed with noxious weeds in the immediate geographic area, and experiments involving whole plants and recombinant DNA-modified non-exotic microorganisms that have no recognized potential for rapid and widespread dissemination or for serious detrimental impact on managed or natural ecosystems (e.g., </w:t>
      </w:r>
      <w:r w:rsidRPr="00275B47">
        <w:rPr>
          <w:rFonts w:ascii="Arial" w:hAnsi="Arial" w:cs="Arial"/>
          <w:i/>
          <w:sz w:val="22"/>
          <w:szCs w:val="22"/>
        </w:rPr>
        <w:t>Rhizobium</w:t>
      </w:r>
      <w:r w:rsidRPr="00275B47">
        <w:rPr>
          <w:rFonts w:ascii="Arial" w:hAnsi="Arial" w:cs="Arial"/>
          <w:sz w:val="22"/>
          <w:szCs w:val="22"/>
        </w:rPr>
        <w:t xml:space="preserve"> spp. and </w:t>
      </w:r>
      <w:r w:rsidRPr="00275B47">
        <w:rPr>
          <w:rFonts w:ascii="Arial" w:hAnsi="Arial" w:cs="Arial"/>
          <w:i/>
          <w:sz w:val="22"/>
          <w:szCs w:val="22"/>
        </w:rPr>
        <w:t>Agrobacterium</w:t>
      </w:r>
      <w:r w:rsidRPr="00275B47">
        <w:rPr>
          <w:rFonts w:ascii="Arial" w:hAnsi="Arial" w:cs="Arial"/>
          <w:sz w:val="22"/>
          <w:szCs w:val="22"/>
        </w:rPr>
        <w:t xml:space="preserve"> spp.). </w:t>
      </w:r>
    </w:p>
    <w:p w14:paraId="30AB27B2" w14:textId="66C0DDBF" w:rsidR="003E5702" w:rsidRPr="00275B47" w:rsidRDefault="003E5702" w:rsidP="00275B47">
      <w:pPr>
        <w:pStyle w:val="ListParagraph"/>
        <w:widowControl w:val="0"/>
        <w:numPr>
          <w:ilvl w:val="1"/>
          <w:numId w:val="5"/>
        </w:numPr>
        <w:autoSpaceDE w:val="0"/>
        <w:autoSpaceDN w:val="0"/>
        <w:adjustRightInd w:val="0"/>
        <w:rPr>
          <w:rFonts w:ascii="Arial" w:hAnsi="Arial" w:cs="Arial"/>
          <w:sz w:val="22"/>
          <w:szCs w:val="22"/>
        </w:rPr>
      </w:pPr>
      <w:r w:rsidRPr="00275B47">
        <w:rPr>
          <w:rFonts w:ascii="Arial" w:hAnsi="Arial" w:cs="Arial"/>
          <w:sz w:val="22"/>
          <w:szCs w:val="22"/>
        </w:rPr>
        <w:t>III-E-2b</w:t>
      </w:r>
      <w:r w:rsidR="0026097F">
        <w:rPr>
          <w:rFonts w:ascii="Arial" w:hAnsi="Arial" w:cs="Arial"/>
          <w:sz w:val="22"/>
          <w:szCs w:val="22"/>
        </w:rPr>
        <w:t>.</w:t>
      </w:r>
      <w:r w:rsidRPr="00275B47">
        <w:rPr>
          <w:rFonts w:ascii="Arial" w:hAnsi="Arial" w:cs="Arial"/>
          <w:sz w:val="22"/>
          <w:szCs w:val="22"/>
        </w:rPr>
        <w:t xml:space="preserve"> B</w:t>
      </w:r>
      <w:r w:rsidR="0026097F">
        <w:rPr>
          <w:rFonts w:ascii="Arial" w:hAnsi="Arial" w:cs="Arial"/>
          <w:sz w:val="22"/>
          <w:szCs w:val="22"/>
        </w:rPr>
        <w:t>S</w:t>
      </w:r>
      <w:r w:rsidRPr="00275B47">
        <w:rPr>
          <w:rFonts w:ascii="Arial" w:hAnsi="Arial" w:cs="Arial"/>
          <w:sz w:val="22"/>
          <w:szCs w:val="22"/>
        </w:rPr>
        <w:t>L</w:t>
      </w:r>
      <w:r w:rsidR="0026097F">
        <w:rPr>
          <w:rFonts w:ascii="Arial" w:hAnsi="Arial" w:cs="Arial"/>
          <w:sz w:val="22"/>
          <w:szCs w:val="22"/>
        </w:rPr>
        <w:t>-</w:t>
      </w:r>
      <w:r w:rsidRPr="00275B47">
        <w:rPr>
          <w:rFonts w:ascii="Arial" w:hAnsi="Arial" w:cs="Arial"/>
          <w:sz w:val="22"/>
          <w:szCs w:val="22"/>
        </w:rPr>
        <w:t>2-P OR B</w:t>
      </w:r>
      <w:r w:rsidR="0026097F">
        <w:rPr>
          <w:rFonts w:ascii="Arial" w:hAnsi="Arial" w:cs="Arial"/>
          <w:sz w:val="22"/>
          <w:szCs w:val="22"/>
        </w:rPr>
        <w:t>S</w:t>
      </w:r>
      <w:r w:rsidRPr="00275B47">
        <w:rPr>
          <w:rFonts w:ascii="Arial" w:hAnsi="Arial" w:cs="Arial"/>
          <w:sz w:val="22"/>
          <w:szCs w:val="22"/>
        </w:rPr>
        <w:t>L</w:t>
      </w:r>
      <w:r w:rsidR="0026097F">
        <w:rPr>
          <w:rFonts w:ascii="Arial" w:hAnsi="Arial" w:cs="Arial"/>
          <w:sz w:val="22"/>
          <w:szCs w:val="22"/>
        </w:rPr>
        <w:t>-</w:t>
      </w:r>
      <w:r w:rsidRPr="00275B47">
        <w:rPr>
          <w:rFonts w:ascii="Arial" w:hAnsi="Arial" w:cs="Arial"/>
          <w:sz w:val="22"/>
          <w:szCs w:val="22"/>
        </w:rPr>
        <w:t xml:space="preserve">1-P + biological containment is recommended for the following experiments: </w:t>
      </w:r>
    </w:p>
    <w:p w14:paraId="311EB4CD" w14:textId="0AE09C1C" w:rsidR="003E5702" w:rsidRPr="00275B47" w:rsidRDefault="003E5702" w:rsidP="00275B47">
      <w:pPr>
        <w:pStyle w:val="ListParagraph"/>
        <w:widowControl w:val="0"/>
        <w:numPr>
          <w:ilvl w:val="2"/>
          <w:numId w:val="5"/>
        </w:numPr>
        <w:autoSpaceDE w:val="0"/>
        <w:autoSpaceDN w:val="0"/>
        <w:adjustRightInd w:val="0"/>
        <w:rPr>
          <w:rFonts w:ascii="Arial" w:hAnsi="Arial" w:cs="Arial"/>
          <w:sz w:val="22"/>
          <w:szCs w:val="22"/>
        </w:rPr>
      </w:pPr>
      <w:r w:rsidRPr="00275B47">
        <w:rPr>
          <w:rFonts w:ascii="Arial" w:hAnsi="Arial" w:cs="Arial"/>
          <w:sz w:val="22"/>
          <w:szCs w:val="22"/>
        </w:rPr>
        <w:t>III-E-2b(1)</w:t>
      </w:r>
      <w:r w:rsidR="0026097F">
        <w:rPr>
          <w:rFonts w:ascii="Arial" w:hAnsi="Arial" w:cs="Arial"/>
          <w:sz w:val="22"/>
          <w:szCs w:val="22"/>
        </w:rPr>
        <w:t>.</w:t>
      </w:r>
      <w:r w:rsidRPr="00275B47">
        <w:rPr>
          <w:rFonts w:ascii="Arial" w:hAnsi="Arial" w:cs="Arial"/>
          <w:sz w:val="22"/>
          <w:szCs w:val="22"/>
        </w:rPr>
        <w:t xml:space="preserve"> Plants modified by recombinant DNA that are noxious weeds or can interbreed with noxious weeds in the immediate geographic area. </w:t>
      </w:r>
    </w:p>
    <w:p w14:paraId="020AEDD9" w14:textId="65D18967" w:rsidR="003E5702" w:rsidRPr="00275B47" w:rsidRDefault="003E5702" w:rsidP="00275B47">
      <w:pPr>
        <w:pStyle w:val="ListParagraph"/>
        <w:widowControl w:val="0"/>
        <w:numPr>
          <w:ilvl w:val="2"/>
          <w:numId w:val="5"/>
        </w:numPr>
        <w:autoSpaceDE w:val="0"/>
        <w:autoSpaceDN w:val="0"/>
        <w:adjustRightInd w:val="0"/>
        <w:rPr>
          <w:rFonts w:ascii="Arial" w:hAnsi="Arial" w:cs="Arial"/>
          <w:sz w:val="22"/>
          <w:szCs w:val="22"/>
        </w:rPr>
      </w:pPr>
      <w:r w:rsidRPr="00275B47">
        <w:rPr>
          <w:rFonts w:ascii="Arial" w:hAnsi="Arial" w:cs="Arial"/>
          <w:sz w:val="22"/>
          <w:szCs w:val="22"/>
        </w:rPr>
        <w:t>III-E-2b(2)</w:t>
      </w:r>
      <w:r w:rsidR="0026097F">
        <w:rPr>
          <w:rFonts w:ascii="Arial" w:hAnsi="Arial" w:cs="Arial"/>
          <w:sz w:val="22"/>
          <w:szCs w:val="22"/>
        </w:rPr>
        <w:t>.</w:t>
      </w:r>
      <w:r w:rsidRPr="00275B47">
        <w:rPr>
          <w:rFonts w:ascii="Arial" w:hAnsi="Arial" w:cs="Arial"/>
          <w:sz w:val="22"/>
          <w:szCs w:val="22"/>
        </w:rPr>
        <w:t xml:space="preserve"> Plants in which the introduced DNA represents the complete genome of a non-exotic infectious agent. </w:t>
      </w:r>
    </w:p>
    <w:p w14:paraId="78535B58" w14:textId="32912D34" w:rsidR="003E5702" w:rsidRPr="00275B47" w:rsidRDefault="003E5702" w:rsidP="00275B47">
      <w:pPr>
        <w:pStyle w:val="ListParagraph"/>
        <w:widowControl w:val="0"/>
        <w:numPr>
          <w:ilvl w:val="2"/>
          <w:numId w:val="5"/>
        </w:numPr>
        <w:autoSpaceDE w:val="0"/>
        <w:autoSpaceDN w:val="0"/>
        <w:adjustRightInd w:val="0"/>
        <w:rPr>
          <w:rFonts w:ascii="Arial" w:hAnsi="Arial" w:cs="Arial"/>
          <w:sz w:val="22"/>
          <w:szCs w:val="22"/>
        </w:rPr>
      </w:pPr>
      <w:r w:rsidRPr="00275B47">
        <w:rPr>
          <w:rFonts w:ascii="Arial" w:hAnsi="Arial" w:cs="Arial"/>
          <w:sz w:val="22"/>
          <w:szCs w:val="22"/>
        </w:rPr>
        <w:t>III-E-2b(3)</w:t>
      </w:r>
      <w:r w:rsidR="0026097F">
        <w:rPr>
          <w:rFonts w:ascii="Arial" w:hAnsi="Arial" w:cs="Arial"/>
          <w:sz w:val="22"/>
          <w:szCs w:val="22"/>
        </w:rPr>
        <w:t>.</w:t>
      </w:r>
      <w:r w:rsidRPr="00275B47">
        <w:rPr>
          <w:rFonts w:ascii="Arial" w:hAnsi="Arial" w:cs="Arial"/>
          <w:sz w:val="22"/>
          <w:szCs w:val="22"/>
        </w:rPr>
        <w:t xml:space="preserve"> Plants associated with recombinant DNA-modified non-exotic microorganisms that have a recognized potential for serious detrimental impact on managed or natural ecosystems. </w:t>
      </w:r>
    </w:p>
    <w:p w14:paraId="30E4440C" w14:textId="067FF63E" w:rsidR="003E5702" w:rsidRPr="00275B47" w:rsidRDefault="003E5702" w:rsidP="00275B47">
      <w:pPr>
        <w:pStyle w:val="ListParagraph"/>
        <w:widowControl w:val="0"/>
        <w:numPr>
          <w:ilvl w:val="2"/>
          <w:numId w:val="5"/>
        </w:numPr>
        <w:autoSpaceDE w:val="0"/>
        <w:autoSpaceDN w:val="0"/>
        <w:adjustRightInd w:val="0"/>
        <w:rPr>
          <w:rFonts w:ascii="Arial" w:hAnsi="Arial" w:cs="Arial"/>
          <w:sz w:val="22"/>
          <w:szCs w:val="22"/>
        </w:rPr>
      </w:pPr>
      <w:r w:rsidRPr="00275B47">
        <w:rPr>
          <w:rFonts w:ascii="Arial" w:hAnsi="Arial" w:cs="Arial"/>
          <w:sz w:val="22"/>
          <w:szCs w:val="22"/>
        </w:rPr>
        <w:t>III-E-2b(4)</w:t>
      </w:r>
      <w:r w:rsidR="0026097F">
        <w:rPr>
          <w:rFonts w:ascii="Arial" w:hAnsi="Arial" w:cs="Arial"/>
          <w:sz w:val="22"/>
          <w:szCs w:val="22"/>
        </w:rPr>
        <w:t>.</w:t>
      </w:r>
      <w:r w:rsidRPr="00275B47">
        <w:rPr>
          <w:rFonts w:ascii="Arial" w:hAnsi="Arial" w:cs="Arial"/>
          <w:sz w:val="22"/>
          <w:szCs w:val="22"/>
        </w:rPr>
        <w:t xml:space="preserve"> Plants associated with recombinant DNA-modified exotic microorganisms that have no recognized potential for serious detrimental impact on natural ecosystems. </w:t>
      </w:r>
    </w:p>
    <w:p w14:paraId="40133B54" w14:textId="76164D89" w:rsidR="003E5702" w:rsidRPr="00275B47" w:rsidRDefault="003E5702" w:rsidP="00275B47">
      <w:pPr>
        <w:pStyle w:val="ListParagraph"/>
        <w:widowControl w:val="0"/>
        <w:numPr>
          <w:ilvl w:val="2"/>
          <w:numId w:val="5"/>
        </w:numPr>
        <w:autoSpaceDE w:val="0"/>
        <w:autoSpaceDN w:val="0"/>
        <w:adjustRightInd w:val="0"/>
        <w:rPr>
          <w:rFonts w:ascii="Arial" w:hAnsi="Arial" w:cs="Arial"/>
          <w:sz w:val="22"/>
          <w:szCs w:val="22"/>
        </w:rPr>
      </w:pPr>
      <w:r w:rsidRPr="00275B47">
        <w:rPr>
          <w:rFonts w:ascii="Arial" w:hAnsi="Arial" w:cs="Arial"/>
          <w:sz w:val="22"/>
          <w:szCs w:val="22"/>
        </w:rPr>
        <w:t>III-E-2b(5)</w:t>
      </w:r>
      <w:r w:rsidR="0026097F">
        <w:rPr>
          <w:rFonts w:ascii="Arial" w:hAnsi="Arial" w:cs="Arial"/>
          <w:sz w:val="22"/>
          <w:szCs w:val="22"/>
        </w:rPr>
        <w:t>.</w:t>
      </w:r>
      <w:r w:rsidRPr="00275B47">
        <w:rPr>
          <w:rFonts w:ascii="Arial" w:hAnsi="Arial" w:cs="Arial"/>
          <w:sz w:val="22"/>
          <w:szCs w:val="22"/>
        </w:rPr>
        <w:t xml:space="preserve"> Experiments with recombinant DNA-modified arthropods or small animals associated with plants, or with arthropods or small animals with recombinant DNA-modified microorganisms associated with them if the recombinant DNA-modified microorganisms have no recognized potential for serious detrimental impact on managed or natural ecosystems.</w:t>
      </w:r>
    </w:p>
    <w:p w14:paraId="3CD7DD7B" w14:textId="1A58DBB2"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III-E-3</w:t>
      </w:r>
      <w:r w:rsidR="0026097F">
        <w:rPr>
          <w:rFonts w:ascii="Arial" w:hAnsi="Arial" w:cs="Arial"/>
          <w:sz w:val="22"/>
          <w:szCs w:val="22"/>
        </w:rPr>
        <w:t>.</w:t>
      </w:r>
      <w:r w:rsidRPr="00275B47">
        <w:rPr>
          <w:rFonts w:ascii="Arial" w:hAnsi="Arial" w:cs="Arial"/>
          <w:sz w:val="22"/>
          <w:szCs w:val="22"/>
        </w:rPr>
        <w:t xml:space="preserve"> Experiments involving the generation of rodents in which the animal's genome has been altered by stable introduction of recombinant DNA, or DNA derived therefrom, into the germ-line (transgenic rodents). Only experiments that require B</w:t>
      </w:r>
      <w:r w:rsidR="0026097F">
        <w:rPr>
          <w:rFonts w:ascii="Arial" w:hAnsi="Arial" w:cs="Arial"/>
          <w:sz w:val="22"/>
          <w:szCs w:val="22"/>
        </w:rPr>
        <w:t>S</w:t>
      </w:r>
      <w:r w:rsidRPr="00275B47">
        <w:rPr>
          <w:rFonts w:ascii="Arial" w:hAnsi="Arial" w:cs="Arial"/>
          <w:sz w:val="22"/>
          <w:szCs w:val="22"/>
        </w:rPr>
        <w:t>L</w:t>
      </w:r>
      <w:r w:rsidR="0026097F">
        <w:rPr>
          <w:rFonts w:ascii="Arial" w:hAnsi="Arial" w:cs="Arial"/>
          <w:sz w:val="22"/>
          <w:szCs w:val="22"/>
        </w:rPr>
        <w:t>-</w:t>
      </w:r>
      <w:r w:rsidRPr="00275B47">
        <w:rPr>
          <w:rFonts w:ascii="Arial" w:hAnsi="Arial" w:cs="Arial"/>
          <w:sz w:val="22"/>
          <w:szCs w:val="22"/>
        </w:rPr>
        <w:t>1 containment are covered under this section. Other experiments are covered under section III-D-4.</w:t>
      </w:r>
    </w:p>
    <w:p w14:paraId="3B8B0718" w14:textId="77777777" w:rsidR="003E5702" w:rsidRPr="00275B47" w:rsidRDefault="003E5702" w:rsidP="003E5702">
      <w:pPr>
        <w:widowControl w:val="0"/>
        <w:autoSpaceDE w:val="0"/>
        <w:autoSpaceDN w:val="0"/>
        <w:adjustRightInd w:val="0"/>
        <w:rPr>
          <w:rFonts w:ascii="Arial" w:hAnsi="Arial" w:cs="Arial"/>
          <w:b/>
          <w:bCs/>
          <w:sz w:val="22"/>
          <w:szCs w:val="22"/>
        </w:rPr>
      </w:pPr>
    </w:p>
    <w:p w14:paraId="223DC30F" w14:textId="301660A8" w:rsidR="003E5702" w:rsidRPr="00275B47" w:rsidRDefault="003E5702" w:rsidP="003E5702">
      <w:pPr>
        <w:widowControl w:val="0"/>
        <w:autoSpaceDE w:val="0"/>
        <w:autoSpaceDN w:val="0"/>
        <w:adjustRightInd w:val="0"/>
        <w:rPr>
          <w:rFonts w:ascii="Arial" w:hAnsi="Arial" w:cs="Arial"/>
          <w:sz w:val="22"/>
          <w:szCs w:val="22"/>
        </w:rPr>
      </w:pPr>
      <w:r w:rsidRPr="00275B47">
        <w:rPr>
          <w:rFonts w:ascii="Arial" w:hAnsi="Arial" w:cs="Arial"/>
          <w:b/>
          <w:bCs/>
          <w:sz w:val="22"/>
          <w:szCs w:val="22"/>
        </w:rPr>
        <w:t>Section III-F</w:t>
      </w:r>
      <w:r w:rsidR="0026097F">
        <w:rPr>
          <w:rFonts w:ascii="Arial" w:hAnsi="Arial" w:cs="Arial"/>
          <w:b/>
          <w:bCs/>
          <w:sz w:val="22"/>
          <w:szCs w:val="22"/>
        </w:rPr>
        <w:t xml:space="preserve">. </w:t>
      </w:r>
      <w:r w:rsidRPr="00275B47">
        <w:rPr>
          <w:rFonts w:ascii="Arial" w:hAnsi="Arial" w:cs="Arial"/>
          <w:b/>
          <w:bCs/>
          <w:sz w:val="22"/>
          <w:szCs w:val="22"/>
        </w:rPr>
        <w:t xml:space="preserve">Experiments that are exempt from NIH Guidelines. Review and/or approval from the </w:t>
      </w:r>
      <w:r w:rsidR="0026097F">
        <w:rPr>
          <w:rFonts w:ascii="Arial" w:hAnsi="Arial" w:cs="Arial"/>
          <w:b/>
          <w:bCs/>
          <w:sz w:val="22"/>
          <w:szCs w:val="22"/>
        </w:rPr>
        <w:t xml:space="preserve">Institutional </w:t>
      </w:r>
      <w:r w:rsidR="00275B47" w:rsidRPr="00275B47">
        <w:rPr>
          <w:rFonts w:ascii="Arial" w:hAnsi="Arial" w:cs="Arial"/>
          <w:b/>
          <w:bCs/>
          <w:sz w:val="22"/>
          <w:szCs w:val="22"/>
        </w:rPr>
        <w:t>Biosafety</w:t>
      </w:r>
      <w:r w:rsidRPr="00275B47">
        <w:rPr>
          <w:rFonts w:ascii="Arial" w:hAnsi="Arial" w:cs="Arial"/>
          <w:b/>
          <w:bCs/>
          <w:sz w:val="22"/>
          <w:szCs w:val="22"/>
        </w:rPr>
        <w:t xml:space="preserve"> Committee is not necessary.</w:t>
      </w:r>
    </w:p>
    <w:p w14:paraId="3670DB4F" w14:textId="6586D2CA"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III-F-1</w:t>
      </w:r>
      <w:r w:rsidR="0026097F">
        <w:rPr>
          <w:rFonts w:ascii="Arial" w:hAnsi="Arial" w:cs="Arial"/>
          <w:sz w:val="22"/>
          <w:szCs w:val="22"/>
        </w:rPr>
        <w:t>.</w:t>
      </w:r>
      <w:r w:rsidRPr="00275B47">
        <w:rPr>
          <w:rFonts w:ascii="Arial" w:hAnsi="Arial" w:cs="Arial"/>
          <w:sz w:val="22"/>
          <w:szCs w:val="22"/>
        </w:rPr>
        <w:t xml:space="preserve"> Recombinant DNA molecules that are not in organisms or viruses. </w:t>
      </w:r>
    </w:p>
    <w:p w14:paraId="229A3CC5" w14:textId="00516D59"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III-F-2</w:t>
      </w:r>
      <w:r w:rsidR="0026097F">
        <w:rPr>
          <w:rFonts w:ascii="Arial" w:hAnsi="Arial" w:cs="Arial"/>
          <w:sz w:val="22"/>
          <w:szCs w:val="22"/>
        </w:rPr>
        <w:t>.</w:t>
      </w:r>
      <w:r w:rsidRPr="00275B47">
        <w:rPr>
          <w:rFonts w:ascii="Arial" w:hAnsi="Arial" w:cs="Arial"/>
          <w:sz w:val="22"/>
          <w:szCs w:val="22"/>
        </w:rPr>
        <w:t xml:space="preserve"> Recombinant DNA molecules that consist entirely of DNA segments from a single non-chromosomal or viral DNA source, though one or more of the segments may be a synthetic equivalent. </w:t>
      </w:r>
    </w:p>
    <w:p w14:paraId="121A0798" w14:textId="4EDC9A44"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III-F-3</w:t>
      </w:r>
      <w:r w:rsidR="0026097F">
        <w:rPr>
          <w:rFonts w:ascii="Arial" w:hAnsi="Arial" w:cs="Arial"/>
          <w:sz w:val="22"/>
          <w:szCs w:val="22"/>
        </w:rPr>
        <w:t>.</w:t>
      </w:r>
      <w:r w:rsidRPr="00275B47">
        <w:rPr>
          <w:rFonts w:ascii="Arial" w:hAnsi="Arial" w:cs="Arial"/>
          <w:sz w:val="22"/>
          <w:szCs w:val="22"/>
        </w:rPr>
        <w:t xml:space="preserve"> Recombinant DNA molecules that consist entirely of DNA from a prokaryotic host including </w:t>
      </w:r>
      <w:r w:rsidRPr="00275B47">
        <w:rPr>
          <w:rFonts w:ascii="Arial" w:hAnsi="Arial" w:cs="Arial"/>
          <w:sz w:val="22"/>
          <w:szCs w:val="22"/>
        </w:rPr>
        <w:lastRenderedPageBreak/>
        <w:t xml:space="preserve">its indigenous plasmids or viruses when propagated only in that host (or a closely related strain of the same species) or when transferred to another host cell by well established physiological means. </w:t>
      </w:r>
    </w:p>
    <w:p w14:paraId="0BA20446" w14:textId="0016FF9F"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III-F-4</w:t>
      </w:r>
      <w:r w:rsidR="0026097F">
        <w:rPr>
          <w:rFonts w:ascii="Arial" w:hAnsi="Arial" w:cs="Arial"/>
          <w:sz w:val="22"/>
          <w:szCs w:val="22"/>
        </w:rPr>
        <w:t>.</w:t>
      </w:r>
      <w:r w:rsidRPr="00275B47">
        <w:rPr>
          <w:rFonts w:ascii="Arial" w:hAnsi="Arial" w:cs="Arial"/>
          <w:sz w:val="22"/>
          <w:szCs w:val="22"/>
        </w:rPr>
        <w:t xml:space="preserve"> Recombinant DNA molecules that consist entirely of DNA from a eukaryotic host including its chloroplasts, mitochondria, or plasmids (but excluding viruses) when propagated only in that host (or closely related strain of the same species).</w:t>
      </w:r>
    </w:p>
    <w:p w14:paraId="618AB1CB" w14:textId="0D591B41" w:rsidR="003E5702" w:rsidRPr="00275B47" w:rsidRDefault="003E5702" w:rsidP="003E5702">
      <w:pPr>
        <w:pStyle w:val="ListParagraph"/>
        <w:widowControl w:val="0"/>
        <w:numPr>
          <w:ilvl w:val="0"/>
          <w:numId w:val="5"/>
        </w:numPr>
        <w:autoSpaceDE w:val="0"/>
        <w:autoSpaceDN w:val="0"/>
        <w:adjustRightInd w:val="0"/>
        <w:rPr>
          <w:rFonts w:ascii="Arial" w:hAnsi="Arial" w:cs="Arial"/>
          <w:sz w:val="22"/>
          <w:szCs w:val="22"/>
        </w:rPr>
      </w:pPr>
      <w:r w:rsidRPr="00275B47">
        <w:rPr>
          <w:rFonts w:ascii="Arial" w:hAnsi="Arial" w:cs="Arial"/>
          <w:sz w:val="22"/>
          <w:szCs w:val="22"/>
        </w:rPr>
        <w:t>III-F-5</w:t>
      </w:r>
      <w:r w:rsidR="0026097F">
        <w:rPr>
          <w:rFonts w:ascii="Arial" w:hAnsi="Arial" w:cs="Arial"/>
          <w:sz w:val="22"/>
          <w:szCs w:val="22"/>
        </w:rPr>
        <w:t>.</w:t>
      </w:r>
      <w:r w:rsidRPr="00275B47">
        <w:rPr>
          <w:rFonts w:ascii="Arial" w:hAnsi="Arial" w:cs="Arial"/>
          <w:sz w:val="22"/>
          <w:szCs w:val="22"/>
        </w:rPr>
        <w:t xml:space="preserve"> Recombinant DNA molecules that consist entirely of DNA segments from different species that exchange DNA by known physiological processes though one or more of the segments may be a synthetic equivalent. </w:t>
      </w:r>
    </w:p>
    <w:p w14:paraId="09E50CDC" w14:textId="2E7751B3" w:rsidR="003E5702" w:rsidRPr="00275B47" w:rsidRDefault="003E5702" w:rsidP="003E5702">
      <w:pPr>
        <w:pStyle w:val="ListParagraph"/>
        <w:numPr>
          <w:ilvl w:val="0"/>
          <w:numId w:val="5"/>
        </w:numPr>
        <w:rPr>
          <w:rFonts w:ascii="Arial" w:hAnsi="Arial" w:cs="Arial"/>
          <w:sz w:val="22"/>
          <w:szCs w:val="22"/>
        </w:rPr>
      </w:pPr>
      <w:r w:rsidRPr="00275B47">
        <w:rPr>
          <w:rFonts w:ascii="Arial" w:hAnsi="Arial" w:cs="Arial"/>
          <w:sz w:val="22"/>
          <w:szCs w:val="22"/>
        </w:rPr>
        <w:t>III-F-6</w:t>
      </w:r>
      <w:r w:rsidR="0026097F">
        <w:rPr>
          <w:rFonts w:ascii="Arial" w:hAnsi="Arial" w:cs="Arial"/>
          <w:sz w:val="22"/>
          <w:szCs w:val="22"/>
        </w:rPr>
        <w:t>.</w:t>
      </w:r>
      <w:r w:rsidRPr="00275B47">
        <w:rPr>
          <w:rFonts w:ascii="Arial" w:hAnsi="Arial" w:cs="Arial"/>
          <w:sz w:val="22"/>
          <w:szCs w:val="22"/>
        </w:rPr>
        <w:t xml:space="preserve"> Recombinant DNA molecules which do not present a significant risk to health or the environment, as determined by the NIH.</w:t>
      </w:r>
    </w:p>
    <w:p w14:paraId="7853DF6B" w14:textId="77777777" w:rsidR="003E5702" w:rsidRDefault="003E5702" w:rsidP="00E72727">
      <w:pPr>
        <w:spacing w:line="360" w:lineRule="auto"/>
        <w:rPr>
          <w:rFonts w:ascii="Arial" w:hAnsi="Arial" w:cs="Arial"/>
          <w:sz w:val="22"/>
          <w:szCs w:val="22"/>
        </w:rPr>
      </w:pPr>
    </w:p>
    <w:p w14:paraId="3286134B" w14:textId="77777777" w:rsidR="0026097F" w:rsidRDefault="0026097F" w:rsidP="00E72727">
      <w:pPr>
        <w:spacing w:line="360" w:lineRule="auto"/>
        <w:rPr>
          <w:rFonts w:ascii="Arial" w:hAnsi="Arial" w:cs="Arial"/>
          <w:b/>
          <w:sz w:val="22"/>
          <w:szCs w:val="22"/>
        </w:rPr>
      </w:pPr>
    </w:p>
    <w:p w14:paraId="5C9EEEA6" w14:textId="77777777" w:rsidR="0026097F" w:rsidRDefault="0026097F" w:rsidP="00E72727">
      <w:pPr>
        <w:spacing w:line="360" w:lineRule="auto"/>
        <w:rPr>
          <w:rFonts w:ascii="Arial" w:hAnsi="Arial" w:cs="Arial"/>
          <w:b/>
          <w:sz w:val="22"/>
          <w:szCs w:val="22"/>
        </w:rPr>
      </w:pPr>
    </w:p>
    <w:p w14:paraId="58363E4E" w14:textId="77777777" w:rsidR="0026097F" w:rsidRDefault="0026097F" w:rsidP="00E72727">
      <w:pPr>
        <w:spacing w:line="360" w:lineRule="auto"/>
        <w:rPr>
          <w:rFonts w:ascii="Arial" w:hAnsi="Arial" w:cs="Arial"/>
          <w:b/>
          <w:sz w:val="22"/>
          <w:szCs w:val="22"/>
        </w:rPr>
      </w:pPr>
    </w:p>
    <w:p w14:paraId="340114AC" w14:textId="77777777" w:rsidR="0026097F" w:rsidRDefault="0026097F" w:rsidP="00E72727">
      <w:pPr>
        <w:spacing w:line="360" w:lineRule="auto"/>
        <w:rPr>
          <w:rFonts w:ascii="Arial" w:hAnsi="Arial" w:cs="Arial"/>
          <w:b/>
          <w:sz w:val="22"/>
          <w:szCs w:val="22"/>
        </w:rPr>
      </w:pPr>
    </w:p>
    <w:p w14:paraId="2882D843" w14:textId="77777777" w:rsidR="0026097F" w:rsidRDefault="0026097F" w:rsidP="00E72727">
      <w:pPr>
        <w:spacing w:line="360" w:lineRule="auto"/>
        <w:rPr>
          <w:rFonts w:ascii="Arial" w:hAnsi="Arial" w:cs="Arial"/>
          <w:b/>
          <w:sz w:val="22"/>
          <w:szCs w:val="22"/>
        </w:rPr>
      </w:pPr>
    </w:p>
    <w:p w14:paraId="3EAF4AA5" w14:textId="77777777" w:rsidR="0026097F" w:rsidRDefault="0026097F" w:rsidP="00E72727">
      <w:pPr>
        <w:spacing w:line="360" w:lineRule="auto"/>
        <w:rPr>
          <w:rFonts w:ascii="Arial" w:hAnsi="Arial" w:cs="Arial"/>
          <w:b/>
          <w:sz w:val="22"/>
          <w:szCs w:val="22"/>
        </w:rPr>
      </w:pPr>
    </w:p>
    <w:p w14:paraId="65CF80A5" w14:textId="77777777" w:rsidR="0026097F" w:rsidRDefault="0026097F" w:rsidP="00E72727">
      <w:pPr>
        <w:spacing w:line="360" w:lineRule="auto"/>
        <w:rPr>
          <w:rFonts w:ascii="Arial" w:hAnsi="Arial" w:cs="Arial"/>
          <w:b/>
          <w:sz w:val="22"/>
          <w:szCs w:val="22"/>
        </w:rPr>
      </w:pPr>
    </w:p>
    <w:p w14:paraId="64871893" w14:textId="77777777" w:rsidR="0026097F" w:rsidRDefault="0026097F" w:rsidP="00E72727">
      <w:pPr>
        <w:spacing w:line="360" w:lineRule="auto"/>
        <w:rPr>
          <w:rFonts w:ascii="Arial" w:hAnsi="Arial" w:cs="Arial"/>
          <w:b/>
          <w:sz w:val="22"/>
          <w:szCs w:val="22"/>
        </w:rPr>
      </w:pPr>
    </w:p>
    <w:p w14:paraId="2DC6A90D" w14:textId="77777777" w:rsidR="0026097F" w:rsidRDefault="0026097F" w:rsidP="00E72727">
      <w:pPr>
        <w:spacing w:line="360" w:lineRule="auto"/>
        <w:rPr>
          <w:rFonts w:ascii="Arial" w:hAnsi="Arial" w:cs="Arial"/>
          <w:b/>
          <w:sz w:val="22"/>
          <w:szCs w:val="22"/>
        </w:rPr>
      </w:pPr>
    </w:p>
    <w:p w14:paraId="395035E9" w14:textId="77777777" w:rsidR="0026097F" w:rsidRDefault="0026097F" w:rsidP="00E72727">
      <w:pPr>
        <w:spacing w:line="360" w:lineRule="auto"/>
        <w:rPr>
          <w:rFonts w:ascii="Arial" w:hAnsi="Arial" w:cs="Arial"/>
          <w:b/>
          <w:sz w:val="22"/>
          <w:szCs w:val="22"/>
        </w:rPr>
      </w:pPr>
    </w:p>
    <w:p w14:paraId="5530EB7C" w14:textId="77777777" w:rsidR="0026097F" w:rsidRDefault="0026097F" w:rsidP="00E72727">
      <w:pPr>
        <w:spacing w:line="360" w:lineRule="auto"/>
        <w:rPr>
          <w:rFonts w:ascii="Arial" w:hAnsi="Arial" w:cs="Arial"/>
          <w:b/>
          <w:sz w:val="22"/>
          <w:szCs w:val="22"/>
        </w:rPr>
      </w:pPr>
    </w:p>
    <w:p w14:paraId="50C6C498" w14:textId="77777777" w:rsidR="0026097F" w:rsidRDefault="0026097F" w:rsidP="00E72727">
      <w:pPr>
        <w:spacing w:line="360" w:lineRule="auto"/>
        <w:rPr>
          <w:rFonts w:ascii="Arial" w:hAnsi="Arial" w:cs="Arial"/>
          <w:b/>
          <w:sz w:val="22"/>
          <w:szCs w:val="22"/>
        </w:rPr>
      </w:pPr>
    </w:p>
    <w:p w14:paraId="7470DF2C" w14:textId="77777777" w:rsidR="0026097F" w:rsidRDefault="0026097F" w:rsidP="00E72727">
      <w:pPr>
        <w:spacing w:line="360" w:lineRule="auto"/>
        <w:rPr>
          <w:rFonts w:ascii="Arial" w:hAnsi="Arial" w:cs="Arial"/>
          <w:b/>
          <w:sz w:val="22"/>
          <w:szCs w:val="22"/>
        </w:rPr>
      </w:pPr>
    </w:p>
    <w:p w14:paraId="292E80AA" w14:textId="77777777" w:rsidR="0026097F" w:rsidRDefault="0026097F" w:rsidP="00E72727">
      <w:pPr>
        <w:spacing w:line="360" w:lineRule="auto"/>
        <w:rPr>
          <w:rFonts w:ascii="Arial" w:hAnsi="Arial" w:cs="Arial"/>
          <w:b/>
          <w:sz w:val="22"/>
          <w:szCs w:val="22"/>
        </w:rPr>
      </w:pPr>
    </w:p>
    <w:p w14:paraId="780ABFF6" w14:textId="77777777" w:rsidR="0026097F" w:rsidRDefault="0026097F" w:rsidP="00E72727">
      <w:pPr>
        <w:spacing w:line="360" w:lineRule="auto"/>
        <w:rPr>
          <w:rFonts w:ascii="Arial" w:hAnsi="Arial" w:cs="Arial"/>
          <w:b/>
          <w:sz w:val="22"/>
          <w:szCs w:val="22"/>
        </w:rPr>
      </w:pPr>
    </w:p>
    <w:p w14:paraId="4F734823" w14:textId="77777777" w:rsidR="0026097F" w:rsidRDefault="0026097F" w:rsidP="00E72727">
      <w:pPr>
        <w:spacing w:line="360" w:lineRule="auto"/>
        <w:rPr>
          <w:rFonts w:ascii="Arial" w:hAnsi="Arial" w:cs="Arial"/>
          <w:b/>
          <w:sz w:val="22"/>
          <w:szCs w:val="22"/>
        </w:rPr>
      </w:pPr>
    </w:p>
    <w:p w14:paraId="14A345A7" w14:textId="77777777" w:rsidR="0026097F" w:rsidRDefault="0026097F" w:rsidP="00E72727">
      <w:pPr>
        <w:spacing w:line="360" w:lineRule="auto"/>
        <w:rPr>
          <w:rFonts w:ascii="Arial" w:hAnsi="Arial" w:cs="Arial"/>
          <w:b/>
          <w:sz w:val="22"/>
          <w:szCs w:val="22"/>
        </w:rPr>
      </w:pPr>
    </w:p>
    <w:p w14:paraId="56B3D076" w14:textId="77777777" w:rsidR="0026097F" w:rsidRDefault="0026097F" w:rsidP="00E72727">
      <w:pPr>
        <w:spacing w:line="360" w:lineRule="auto"/>
        <w:rPr>
          <w:rFonts w:ascii="Arial" w:hAnsi="Arial" w:cs="Arial"/>
          <w:b/>
          <w:sz w:val="22"/>
          <w:szCs w:val="22"/>
        </w:rPr>
      </w:pPr>
    </w:p>
    <w:p w14:paraId="4B5132EE" w14:textId="77777777" w:rsidR="0026097F" w:rsidRDefault="0026097F" w:rsidP="00E72727">
      <w:pPr>
        <w:spacing w:line="360" w:lineRule="auto"/>
        <w:rPr>
          <w:rFonts w:ascii="Arial" w:hAnsi="Arial" w:cs="Arial"/>
          <w:b/>
          <w:sz w:val="22"/>
          <w:szCs w:val="22"/>
        </w:rPr>
      </w:pPr>
    </w:p>
    <w:p w14:paraId="051BBC2A" w14:textId="77777777" w:rsidR="0026097F" w:rsidRDefault="0026097F" w:rsidP="00E72727">
      <w:pPr>
        <w:spacing w:line="360" w:lineRule="auto"/>
        <w:rPr>
          <w:rFonts w:ascii="Arial" w:hAnsi="Arial" w:cs="Arial"/>
          <w:b/>
          <w:sz w:val="22"/>
          <w:szCs w:val="22"/>
        </w:rPr>
      </w:pPr>
    </w:p>
    <w:p w14:paraId="140E59B9" w14:textId="77777777" w:rsidR="0026097F" w:rsidRDefault="0026097F" w:rsidP="00E72727">
      <w:pPr>
        <w:spacing w:line="360" w:lineRule="auto"/>
        <w:rPr>
          <w:rFonts w:ascii="Arial" w:hAnsi="Arial" w:cs="Arial"/>
          <w:b/>
          <w:sz w:val="22"/>
          <w:szCs w:val="22"/>
        </w:rPr>
      </w:pPr>
    </w:p>
    <w:sectPr w:rsidR="0026097F" w:rsidSect="00E72727">
      <w:footerReference w:type="even" r:id="rId9"/>
      <w:pgSz w:w="12240" w:h="15840"/>
      <w:pgMar w:top="864" w:right="864" w:bottom="864" w:left="86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7ECDB" w14:textId="77777777" w:rsidR="00E764D7" w:rsidRDefault="00E764D7" w:rsidP="00DD1E27">
      <w:r>
        <w:separator/>
      </w:r>
    </w:p>
  </w:endnote>
  <w:endnote w:type="continuationSeparator" w:id="0">
    <w:p w14:paraId="3D0E275A" w14:textId="77777777" w:rsidR="00E764D7" w:rsidRDefault="00E764D7" w:rsidP="00DD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C77D" w14:textId="3EBC3A51" w:rsidR="00243BD7" w:rsidRDefault="00E764D7">
    <w:pPr>
      <w:pStyle w:val="Footer"/>
    </w:pPr>
    <w:sdt>
      <w:sdtPr>
        <w:id w:val="969400743"/>
        <w:placeholder>
          <w:docPart w:val="2D84A99FA9C8704A9B24872FFB06EEFE"/>
        </w:placeholder>
        <w:temporary/>
        <w:showingPlcHdr/>
      </w:sdtPr>
      <w:sdtEndPr/>
      <w:sdtContent>
        <w:r w:rsidR="00243BD7">
          <w:t>[Type text]</w:t>
        </w:r>
      </w:sdtContent>
    </w:sdt>
    <w:r w:rsidR="00243BD7">
      <w:ptab w:relativeTo="margin" w:alignment="center" w:leader="none"/>
    </w:r>
    <w:sdt>
      <w:sdtPr>
        <w:id w:val="969400748"/>
        <w:placeholder>
          <w:docPart w:val="CD0ED706D5C52B40A5455C73CA89BE97"/>
        </w:placeholder>
        <w:temporary/>
        <w:showingPlcHdr/>
      </w:sdtPr>
      <w:sdtEndPr/>
      <w:sdtContent>
        <w:r w:rsidR="00243BD7">
          <w:t>[Type text]</w:t>
        </w:r>
      </w:sdtContent>
    </w:sdt>
    <w:r w:rsidR="00243BD7">
      <w:ptab w:relativeTo="margin" w:alignment="right" w:leader="none"/>
    </w:r>
    <w:sdt>
      <w:sdtPr>
        <w:id w:val="969400753"/>
        <w:placeholder>
          <w:docPart w:val="A08FF5C6E285284AAEB6A4078CB98B9E"/>
        </w:placeholder>
        <w:temporary/>
        <w:showingPlcHdr/>
      </w:sdtPr>
      <w:sdtEndPr/>
      <w:sdtContent>
        <w:r w:rsidR="00243BD7">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DF143" w14:textId="77777777" w:rsidR="00E764D7" w:rsidRDefault="00E764D7" w:rsidP="00DD1E27">
      <w:r>
        <w:separator/>
      </w:r>
    </w:p>
  </w:footnote>
  <w:footnote w:type="continuationSeparator" w:id="0">
    <w:p w14:paraId="19DCBC25" w14:textId="77777777" w:rsidR="00E764D7" w:rsidRDefault="00E764D7" w:rsidP="00DD1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543"/>
    <w:multiLevelType w:val="hybridMultilevel"/>
    <w:tmpl w:val="AD52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33A13"/>
    <w:multiLevelType w:val="hybridMultilevel"/>
    <w:tmpl w:val="375C1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7B4BB0"/>
    <w:multiLevelType w:val="hybridMultilevel"/>
    <w:tmpl w:val="7AF23B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1CE4"/>
    <w:multiLevelType w:val="hybridMultilevel"/>
    <w:tmpl w:val="0644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F0555"/>
    <w:multiLevelType w:val="multilevel"/>
    <w:tmpl w:val="6CD0C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C3C9D"/>
    <w:multiLevelType w:val="multilevel"/>
    <w:tmpl w:val="4870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5334D"/>
    <w:multiLevelType w:val="hybridMultilevel"/>
    <w:tmpl w:val="82568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BB0C72"/>
    <w:multiLevelType w:val="hybridMultilevel"/>
    <w:tmpl w:val="48BE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00299"/>
    <w:multiLevelType w:val="hybridMultilevel"/>
    <w:tmpl w:val="FCE8D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85A3A"/>
    <w:multiLevelType w:val="hybridMultilevel"/>
    <w:tmpl w:val="BF30382C"/>
    <w:lvl w:ilvl="0" w:tplc="B53AE75A">
      <w:start w:val="1"/>
      <w:numFmt w:val="lowerRoman"/>
      <w:lvlText w:val="%1."/>
      <w:lvlJc w:val="righ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D76BF7"/>
    <w:multiLevelType w:val="hybridMultilevel"/>
    <w:tmpl w:val="43B04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B7E5F"/>
    <w:multiLevelType w:val="hybridMultilevel"/>
    <w:tmpl w:val="CD7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C32D0"/>
    <w:multiLevelType w:val="hybridMultilevel"/>
    <w:tmpl w:val="2F04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8A1A22"/>
    <w:multiLevelType w:val="hybridMultilevel"/>
    <w:tmpl w:val="701C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C5463F"/>
    <w:multiLevelType w:val="multilevel"/>
    <w:tmpl w:val="69E84F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7013422"/>
    <w:multiLevelType w:val="hybridMultilevel"/>
    <w:tmpl w:val="99AE47F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EF0AA5"/>
    <w:multiLevelType w:val="hybridMultilevel"/>
    <w:tmpl w:val="3884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5"/>
  </w:num>
  <w:num w:numId="4">
    <w:abstractNumId w:val="14"/>
  </w:num>
  <w:num w:numId="5">
    <w:abstractNumId w:val="8"/>
  </w:num>
  <w:num w:numId="6">
    <w:abstractNumId w:val="15"/>
  </w:num>
  <w:num w:numId="7">
    <w:abstractNumId w:val="7"/>
  </w:num>
  <w:num w:numId="8">
    <w:abstractNumId w:val="11"/>
  </w:num>
  <w:num w:numId="9">
    <w:abstractNumId w:val="13"/>
  </w:num>
  <w:num w:numId="10">
    <w:abstractNumId w:val="3"/>
  </w:num>
  <w:num w:numId="11">
    <w:abstractNumId w:val="12"/>
  </w:num>
  <w:num w:numId="12">
    <w:abstractNumId w:val="0"/>
  </w:num>
  <w:num w:numId="13">
    <w:abstractNumId w:val="1"/>
  </w:num>
  <w:num w:numId="14">
    <w:abstractNumId w:val="6"/>
  </w:num>
  <w:num w:numId="15">
    <w:abstractNumId w:val="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42"/>
    <w:rsid w:val="000330AD"/>
    <w:rsid w:val="000E0DA4"/>
    <w:rsid w:val="00123655"/>
    <w:rsid w:val="00126D6A"/>
    <w:rsid w:val="001E628B"/>
    <w:rsid w:val="00243BD7"/>
    <w:rsid w:val="0026097F"/>
    <w:rsid w:val="00275B47"/>
    <w:rsid w:val="002B3AE6"/>
    <w:rsid w:val="003B24C2"/>
    <w:rsid w:val="003E5702"/>
    <w:rsid w:val="005207FF"/>
    <w:rsid w:val="005961DA"/>
    <w:rsid w:val="005A11B1"/>
    <w:rsid w:val="00612209"/>
    <w:rsid w:val="006C4168"/>
    <w:rsid w:val="006C659F"/>
    <w:rsid w:val="00814DC9"/>
    <w:rsid w:val="00933B36"/>
    <w:rsid w:val="00972342"/>
    <w:rsid w:val="00A638DF"/>
    <w:rsid w:val="00AD50C9"/>
    <w:rsid w:val="00AE09B2"/>
    <w:rsid w:val="00BA063B"/>
    <w:rsid w:val="00BB5656"/>
    <w:rsid w:val="00D703D5"/>
    <w:rsid w:val="00DB25C7"/>
    <w:rsid w:val="00DD1E27"/>
    <w:rsid w:val="00DF5CD2"/>
    <w:rsid w:val="00E13C4D"/>
    <w:rsid w:val="00E72727"/>
    <w:rsid w:val="00E764D7"/>
    <w:rsid w:val="00FC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E85D5"/>
  <w14:defaultImageDpi w14:val="300"/>
  <w15:docId w15:val="{6C060BFD-4B9A-8A4F-931C-ADB9AFDF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342"/>
    <w:pPr>
      <w:spacing w:before="100" w:beforeAutospacing="1" w:after="100" w:afterAutospacing="1"/>
    </w:pPr>
    <w:rPr>
      <w:rFonts w:ascii="Times" w:hAnsi="Times" w:cs="Times New Roman"/>
      <w:sz w:val="20"/>
      <w:szCs w:val="20"/>
    </w:rPr>
  </w:style>
  <w:style w:type="paragraph" w:customStyle="1" w:styleId="Default">
    <w:name w:val="Default"/>
    <w:rsid w:val="00FC62E9"/>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FC6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2E9"/>
    <w:rPr>
      <w:rFonts w:ascii="Lucida Grande" w:hAnsi="Lucida Grande" w:cs="Lucida Grande"/>
      <w:sz w:val="18"/>
      <w:szCs w:val="18"/>
    </w:rPr>
  </w:style>
  <w:style w:type="character" w:styleId="Hyperlink">
    <w:name w:val="Hyperlink"/>
    <w:basedOn w:val="DefaultParagraphFont"/>
    <w:uiPriority w:val="99"/>
    <w:unhideWhenUsed/>
    <w:rsid w:val="00BB5656"/>
    <w:rPr>
      <w:color w:val="0000FF" w:themeColor="hyperlink"/>
      <w:u w:val="single"/>
    </w:rPr>
  </w:style>
  <w:style w:type="paragraph" w:styleId="ListParagraph">
    <w:name w:val="List Paragraph"/>
    <w:basedOn w:val="Normal"/>
    <w:uiPriority w:val="34"/>
    <w:qFormat/>
    <w:rsid w:val="00123655"/>
    <w:pPr>
      <w:ind w:left="720"/>
      <w:contextualSpacing/>
    </w:pPr>
  </w:style>
  <w:style w:type="paragraph" w:styleId="Header">
    <w:name w:val="header"/>
    <w:basedOn w:val="Normal"/>
    <w:link w:val="HeaderChar"/>
    <w:uiPriority w:val="99"/>
    <w:unhideWhenUsed/>
    <w:rsid w:val="00DD1E27"/>
    <w:pPr>
      <w:tabs>
        <w:tab w:val="center" w:pos="4320"/>
        <w:tab w:val="right" w:pos="8640"/>
      </w:tabs>
    </w:pPr>
  </w:style>
  <w:style w:type="character" w:customStyle="1" w:styleId="HeaderChar">
    <w:name w:val="Header Char"/>
    <w:basedOn w:val="DefaultParagraphFont"/>
    <w:link w:val="Header"/>
    <w:uiPriority w:val="99"/>
    <w:rsid w:val="00DD1E27"/>
  </w:style>
  <w:style w:type="paragraph" w:styleId="Footer">
    <w:name w:val="footer"/>
    <w:basedOn w:val="Normal"/>
    <w:link w:val="FooterChar"/>
    <w:uiPriority w:val="99"/>
    <w:unhideWhenUsed/>
    <w:rsid w:val="00DD1E27"/>
    <w:pPr>
      <w:tabs>
        <w:tab w:val="center" w:pos="4320"/>
        <w:tab w:val="right" w:pos="8640"/>
      </w:tabs>
    </w:pPr>
  </w:style>
  <w:style w:type="character" w:customStyle="1" w:styleId="FooterChar">
    <w:name w:val="Footer Char"/>
    <w:basedOn w:val="DefaultParagraphFont"/>
    <w:link w:val="Footer"/>
    <w:uiPriority w:val="99"/>
    <w:rsid w:val="00DD1E27"/>
  </w:style>
  <w:style w:type="character" w:styleId="PageNumber">
    <w:name w:val="page number"/>
    <w:basedOn w:val="DefaultParagraphFont"/>
    <w:uiPriority w:val="99"/>
    <w:semiHidden/>
    <w:unhideWhenUsed/>
    <w:rsid w:val="00DD1E27"/>
  </w:style>
  <w:style w:type="table" w:styleId="TableGrid">
    <w:name w:val="Table Grid"/>
    <w:basedOn w:val="TableNormal"/>
    <w:uiPriority w:val="59"/>
    <w:rsid w:val="00E7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3B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3682">
      <w:bodyDiv w:val="1"/>
      <w:marLeft w:val="0"/>
      <w:marRight w:val="0"/>
      <w:marTop w:val="0"/>
      <w:marBottom w:val="0"/>
      <w:divBdr>
        <w:top w:val="none" w:sz="0" w:space="0" w:color="auto"/>
        <w:left w:val="none" w:sz="0" w:space="0" w:color="auto"/>
        <w:bottom w:val="none" w:sz="0" w:space="0" w:color="auto"/>
        <w:right w:val="none" w:sz="0" w:space="0" w:color="auto"/>
      </w:divBdr>
      <w:divsChild>
        <w:div w:id="1260017643">
          <w:marLeft w:val="0"/>
          <w:marRight w:val="0"/>
          <w:marTop w:val="0"/>
          <w:marBottom w:val="0"/>
          <w:divBdr>
            <w:top w:val="none" w:sz="0" w:space="0" w:color="auto"/>
            <w:left w:val="none" w:sz="0" w:space="0" w:color="auto"/>
            <w:bottom w:val="none" w:sz="0" w:space="0" w:color="auto"/>
            <w:right w:val="none" w:sz="0" w:space="0" w:color="auto"/>
          </w:divBdr>
          <w:divsChild>
            <w:div w:id="64843972">
              <w:marLeft w:val="0"/>
              <w:marRight w:val="0"/>
              <w:marTop w:val="0"/>
              <w:marBottom w:val="0"/>
              <w:divBdr>
                <w:top w:val="none" w:sz="0" w:space="0" w:color="auto"/>
                <w:left w:val="none" w:sz="0" w:space="0" w:color="auto"/>
                <w:bottom w:val="none" w:sz="0" w:space="0" w:color="auto"/>
                <w:right w:val="none" w:sz="0" w:space="0" w:color="auto"/>
              </w:divBdr>
              <w:divsChild>
                <w:div w:id="18458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90156">
      <w:bodyDiv w:val="1"/>
      <w:marLeft w:val="0"/>
      <w:marRight w:val="0"/>
      <w:marTop w:val="0"/>
      <w:marBottom w:val="0"/>
      <w:divBdr>
        <w:top w:val="none" w:sz="0" w:space="0" w:color="auto"/>
        <w:left w:val="none" w:sz="0" w:space="0" w:color="auto"/>
        <w:bottom w:val="none" w:sz="0" w:space="0" w:color="auto"/>
        <w:right w:val="none" w:sz="0" w:space="0" w:color="auto"/>
      </w:divBdr>
      <w:divsChild>
        <w:div w:id="1011179968">
          <w:marLeft w:val="0"/>
          <w:marRight w:val="0"/>
          <w:marTop w:val="0"/>
          <w:marBottom w:val="0"/>
          <w:divBdr>
            <w:top w:val="none" w:sz="0" w:space="0" w:color="auto"/>
            <w:left w:val="none" w:sz="0" w:space="0" w:color="auto"/>
            <w:bottom w:val="none" w:sz="0" w:space="0" w:color="auto"/>
            <w:right w:val="none" w:sz="0" w:space="0" w:color="auto"/>
          </w:divBdr>
          <w:divsChild>
            <w:div w:id="397703825">
              <w:marLeft w:val="0"/>
              <w:marRight w:val="0"/>
              <w:marTop w:val="0"/>
              <w:marBottom w:val="0"/>
              <w:divBdr>
                <w:top w:val="none" w:sz="0" w:space="0" w:color="auto"/>
                <w:left w:val="none" w:sz="0" w:space="0" w:color="auto"/>
                <w:bottom w:val="none" w:sz="0" w:space="0" w:color="auto"/>
                <w:right w:val="none" w:sz="0" w:space="0" w:color="auto"/>
              </w:divBdr>
              <w:divsChild>
                <w:div w:id="9015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1217">
      <w:bodyDiv w:val="1"/>
      <w:marLeft w:val="0"/>
      <w:marRight w:val="0"/>
      <w:marTop w:val="0"/>
      <w:marBottom w:val="0"/>
      <w:divBdr>
        <w:top w:val="none" w:sz="0" w:space="0" w:color="auto"/>
        <w:left w:val="none" w:sz="0" w:space="0" w:color="auto"/>
        <w:bottom w:val="none" w:sz="0" w:space="0" w:color="auto"/>
        <w:right w:val="none" w:sz="0" w:space="0" w:color="auto"/>
      </w:divBdr>
      <w:divsChild>
        <w:div w:id="1602445504">
          <w:marLeft w:val="0"/>
          <w:marRight w:val="0"/>
          <w:marTop w:val="0"/>
          <w:marBottom w:val="0"/>
          <w:divBdr>
            <w:top w:val="none" w:sz="0" w:space="0" w:color="auto"/>
            <w:left w:val="none" w:sz="0" w:space="0" w:color="auto"/>
            <w:bottom w:val="none" w:sz="0" w:space="0" w:color="auto"/>
            <w:right w:val="none" w:sz="0" w:space="0" w:color="auto"/>
          </w:divBdr>
          <w:divsChild>
            <w:div w:id="1409233506">
              <w:marLeft w:val="0"/>
              <w:marRight w:val="0"/>
              <w:marTop w:val="0"/>
              <w:marBottom w:val="0"/>
              <w:divBdr>
                <w:top w:val="none" w:sz="0" w:space="0" w:color="auto"/>
                <w:left w:val="none" w:sz="0" w:space="0" w:color="auto"/>
                <w:bottom w:val="none" w:sz="0" w:space="0" w:color="auto"/>
                <w:right w:val="none" w:sz="0" w:space="0" w:color="auto"/>
              </w:divBdr>
              <w:divsChild>
                <w:div w:id="11916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4716">
      <w:bodyDiv w:val="1"/>
      <w:marLeft w:val="0"/>
      <w:marRight w:val="0"/>
      <w:marTop w:val="0"/>
      <w:marBottom w:val="0"/>
      <w:divBdr>
        <w:top w:val="none" w:sz="0" w:space="0" w:color="auto"/>
        <w:left w:val="none" w:sz="0" w:space="0" w:color="auto"/>
        <w:bottom w:val="none" w:sz="0" w:space="0" w:color="auto"/>
        <w:right w:val="none" w:sz="0" w:space="0" w:color="auto"/>
      </w:divBdr>
      <w:divsChild>
        <w:div w:id="680550890">
          <w:marLeft w:val="0"/>
          <w:marRight w:val="0"/>
          <w:marTop w:val="0"/>
          <w:marBottom w:val="0"/>
          <w:divBdr>
            <w:top w:val="none" w:sz="0" w:space="0" w:color="auto"/>
            <w:left w:val="none" w:sz="0" w:space="0" w:color="auto"/>
            <w:bottom w:val="none" w:sz="0" w:space="0" w:color="auto"/>
            <w:right w:val="none" w:sz="0" w:space="0" w:color="auto"/>
          </w:divBdr>
          <w:divsChild>
            <w:div w:id="1779374336">
              <w:marLeft w:val="0"/>
              <w:marRight w:val="0"/>
              <w:marTop w:val="0"/>
              <w:marBottom w:val="0"/>
              <w:divBdr>
                <w:top w:val="none" w:sz="0" w:space="0" w:color="auto"/>
                <w:left w:val="none" w:sz="0" w:space="0" w:color="auto"/>
                <w:bottom w:val="none" w:sz="0" w:space="0" w:color="auto"/>
                <w:right w:val="none" w:sz="0" w:space="0" w:color="auto"/>
              </w:divBdr>
              <w:divsChild>
                <w:div w:id="20897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ba.od.nih.gov/rdna/nih_guidelines_ob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84A99FA9C8704A9B24872FFB06EEFE"/>
        <w:category>
          <w:name w:val="General"/>
          <w:gallery w:val="placeholder"/>
        </w:category>
        <w:types>
          <w:type w:val="bbPlcHdr"/>
        </w:types>
        <w:behaviors>
          <w:behavior w:val="content"/>
        </w:behaviors>
        <w:guid w:val="{C4F95619-1DD1-1444-9125-3C3DD577779A}"/>
      </w:docPartPr>
      <w:docPartBody>
        <w:p w:rsidR="00986285" w:rsidRDefault="00AC15A2" w:rsidP="00AC15A2">
          <w:pPr>
            <w:pStyle w:val="2D84A99FA9C8704A9B24872FFB06EEFE"/>
          </w:pPr>
          <w:r>
            <w:t>[Type text]</w:t>
          </w:r>
        </w:p>
      </w:docPartBody>
    </w:docPart>
    <w:docPart>
      <w:docPartPr>
        <w:name w:val="CD0ED706D5C52B40A5455C73CA89BE97"/>
        <w:category>
          <w:name w:val="General"/>
          <w:gallery w:val="placeholder"/>
        </w:category>
        <w:types>
          <w:type w:val="bbPlcHdr"/>
        </w:types>
        <w:behaviors>
          <w:behavior w:val="content"/>
        </w:behaviors>
        <w:guid w:val="{2A92DA43-D6DD-7142-992B-A62B164B7ED5}"/>
      </w:docPartPr>
      <w:docPartBody>
        <w:p w:rsidR="00986285" w:rsidRDefault="00AC15A2" w:rsidP="00AC15A2">
          <w:pPr>
            <w:pStyle w:val="CD0ED706D5C52B40A5455C73CA89BE97"/>
          </w:pPr>
          <w:r>
            <w:t>[Type text]</w:t>
          </w:r>
        </w:p>
      </w:docPartBody>
    </w:docPart>
    <w:docPart>
      <w:docPartPr>
        <w:name w:val="A08FF5C6E285284AAEB6A4078CB98B9E"/>
        <w:category>
          <w:name w:val="General"/>
          <w:gallery w:val="placeholder"/>
        </w:category>
        <w:types>
          <w:type w:val="bbPlcHdr"/>
        </w:types>
        <w:behaviors>
          <w:behavior w:val="content"/>
        </w:behaviors>
        <w:guid w:val="{FCA7AD5B-05F1-6742-82FB-FDC8CDCF902A}"/>
      </w:docPartPr>
      <w:docPartBody>
        <w:p w:rsidR="00986285" w:rsidRDefault="00AC15A2" w:rsidP="00AC15A2">
          <w:pPr>
            <w:pStyle w:val="A08FF5C6E285284AAEB6A4078CB98B9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5A2"/>
    <w:rsid w:val="000757EA"/>
    <w:rsid w:val="007C381F"/>
    <w:rsid w:val="00986285"/>
    <w:rsid w:val="00AC15A2"/>
    <w:rsid w:val="00E0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84A99FA9C8704A9B24872FFB06EEFE">
    <w:name w:val="2D84A99FA9C8704A9B24872FFB06EEFE"/>
    <w:rsid w:val="00AC15A2"/>
  </w:style>
  <w:style w:type="paragraph" w:customStyle="1" w:styleId="CD0ED706D5C52B40A5455C73CA89BE97">
    <w:name w:val="CD0ED706D5C52B40A5455C73CA89BE97"/>
    <w:rsid w:val="00AC15A2"/>
  </w:style>
  <w:style w:type="paragraph" w:customStyle="1" w:styleId="A08FF5C6E285284AAEB6A4078CB98B9E">
    <w:name w:val="A08FF5C6E285284AAEB6A4078CB98B9E"/>
    <w:rsid w:val="00AC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9C4E-F103-9342-AB77-C4BB267C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Shanle</dc:creator>
  <cp:keywords/>
  <dc:description/>
  <cp:lastModifiedBy>Erin Shanle</cp:lastModifiedBy>
  <cp:revision>3</cp:revision>
  <dcterms:created xsi:type="dcterms:W3CDTF">2020-10-25T13:41:00Z</dcterms:created>
  <dcterms:modified xsi:type="dcterms:W3CDTF">2020-10-25T13:43:00Z</dcterms:modified>
</cp:coreProperties>
</file>