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24" w:rsidRDefault="00C64824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:rsidR="00C64824" w:rsidRDefault="00C64824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:rsidR="00414629" w:rsidRDefault="00414629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:rsidR="00A03DFE" w:rsidRPr="002333F3" w:rsidRDefault="00A03DFE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:rsidR="00A617C7" w:rsidRDefault="00A617C7" w:rsidP="005118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72B38" w:rsidRPr="00643233" w:rsidRDefault="00DF50E6" w:rsidP="005118A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</w:t>
      </w:r>
    </w:p>
    <w:p w:rsidR="00BE1810" w:rsidRDefault="00BE1810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:rsidR="00DF50E6" w:rsidRPr="00DF50E6" w:rsidRDefault="00802887" w:rsidP="00DF50E6">
      <w:pPr>
        <w:spacing w:line="276" w:lineRule="auto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experiment, we are</w:t>
      </w:r>
      <w:r w:rsidR="00334B7D">
        <w:rPr>
          <w:rFonts w:ascii="Arial" w:hAnsi="Arial" w:cs="Arial"/>
          <w:sz w:val="22"/>
          <w:szCs w:val="22"/>
        </w:rPr>
        <w:t xml:space="preserve"> investigating different solutions to see the absorbance of the solutions</w:t>
      </w:r>
      <w:r w:rsidR="00176BA5">
        <w:rPr>
          <w:rFonts w:ascii="Arial" w:hAnsi="Arial" w:cs="Arial"/>
          <w:sz w:val="22"/>
          <w:szCs w:val="22"/>
        </w:rPr>
        <w:t xml:space="preserve"> at different wavelengths. We investigated how light interacts with matter. We are interested</w:t>
      </w:r>
      <w:r>
        <w:rPr>
          <w:rFonts w:ascii="Arial" w:hAnsi="Arial" w:cs="Arial"/>
          <w:sz w:val="22"/>
          <w:szCs w:val="22"/>
        </w:rPr>
        <w:t xml:space="preserve"> in this experiment because it is used to explain how the spectrum can correlate with the different colors observed.</w:t>
      </w:r>
      <w:r w:rsidR="00176BA5">
        <w:rPr>
          <w:rFonts w:ascii="Arial" w:hAnsi="Arial" w:cs="Arial"/>
          <w:sz w:val="22"/>
          <w:szCs w:val="22"/>
        </w:rPr>
        <w:t xml:space="preserve"> </w:t>
      </w:r>
      <w:r w:rsidR="00EE2AF6">
        <w:rPr>
          <w:rFonts w:ascii="Arial" w:hAnsi="Arial" w:cs="Arial"/>
          <w:sz w:val="22"/>
          <w:szCs w:val="22"/>
        </w:rPr>
        <w:t xml:space="preserve">We investigate by using </w:t>
      </w:r>
      <w:r>
        <w:rPr>
          <w:rFonts w:ascii="Arial" w:hAnsi="Arial" w:cs="Arial"/>
          <w:sz w:val="22"/>
          <w:szCs w:val="22"/>
        </w:rPr>
        <w:t>a</w:t>
      </w:r>
      <w:r w:rsidRPr="00802887">
        <w:rPr>
          <w:rFonts w:ascii="Arial" w:hAnsi="Arial" w:cs="Arial"/>
          <w:sz w:val="22"/>
          <w:szCs w:val="22"/>
        </w:rPr>
        <w:t xml:space="preserve"> spectrophotometer</w:t>
      </w:r>
      <w:r>
        <w:rPr>
          <w:rFonts w:ascii="Arial" w:hAnsi="Arial" w:cs="Arial"/>
          <w:sz w:val="22"/>
          <w:szCs w:val="22"/>
        </w:rPr>
        <w:t>. A spectrophotometer is used to measure the interaction of matter with light.</w:t>
      </w:r>
    </w:p>
    <w:p w:rsidR="00BE1810" w:rsidRPr="00C91522" w:rsidRDefault="00BE1810" w:rsidP="005118A4">
      <w:pPr>
        <w:spacing w:line="276" w:lineRule="auto"/>
        <w:ind w:firstLine="720"/>
        <w:rPr>
          <w:rFonts w:ascii="Arial" w:hAnsi="Arial" w:cs="Arial"/>
          <w:i/>
          <w:sz w:val="22"/>
          <w:szCs w:val="22"/>
        </w:rPr>
      </w:pPr>
    </w:p>
    <w:p w:rsidR="0032467D" w:rsidRDefault="0032467D" w:rsidP="005118A4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3DFE" w:rsidRDefault="00A03DFE" w:rsidP="005118A4">
      <w:pPr>
        <w:spacing w:line="276" w:lineRule="auto"/>
        <w:rPr>
          <w:rFonts w:ascii="Arial" w:hAnsi="Arial" w:cs="Arial"/>
          <w:sz w:val="22"/>
          <w:szCs w:val="22"/>
        </w:rPr>
      </w:pPr>
    </w:p>
    <w:p w:rsidR="00176BA5" w:rsidRDefault="00DF50E6" w:rsidP="00A617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Results</w:t>
      </w:r>
    </w:p>
    <w:p w:rsidR="00176BA5" w:rsidRDefault="00176BA5" w:rsidP="00A617C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76BA5" w:rsidRDefault="00176BA5" w:rsidP="00A617C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76BA5" w:rsidRDefault="00176BA5" w:rsidP="00A617C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76BA5" w:rsidRDefault="00176BA5" w:rsidP="00A617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48250" cy="2733675"/>
            <wp:effectExtent l="0" t="0" r="19050" b="952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176BA5" w:rsidRPr="00176BA5" w:rsidRDefault="00176BA5" w:rsidP="00A617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5EA4035" wp14:editId="06ADDF57">
            <wp:extent cx="5048250" cy="29337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176BA5" w:rsidRPr="00176BA5" w:rsidSect="00471E00">
      <w:headerReference w:type="default" r:id="rId10"/>
      <w:footerReference w:type="even" r:id="rId11"/>
      <w:pgSz w:w="12240" w:h="15840"/>
      <w:pgMar w:top="1728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E5" w:rsidRDefault="00D475E5" w:rsidP="000440F6">
      <w:r>
        <w:separator/>
      </w:r>
    </w:p>
  </w:endnote>
  <w:endnote w:type="continuationSeparator" w:id="0">
    <w:p w:rsidR="00D475E5" w:rsidRDefault="00D475E5" w:rsidP="0004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0462236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B6E3A" w:rsidRDefault="004B6E3A" w:rsidP="00987A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B6E3A" w:rsidRDefault="004B6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E5" w:rsidRDefault="00D475E5" w:rsidP="000440F6">
      <w:r>
        <w:separator/>
      </w:r>
    </w:p>
  </w:footnote>
  <w:footnote w:type="continuationSeparator" w:id="0">
    <w:p w:rsidR="00D475E5" w:rsidRDefault="00D475E5" w:rsidP="0004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F6" w:rsidRDefault="005626F9" w:rsidP="005118A4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Lab </w:t>
    </w:r>
    <w:r w:rsidR="00DF50E6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proofErr w:type="gramStart"/>
    <w:r>
      <w:rPr>
        <w:rFonts w:ascii="Arial" w:hAnsi="Arial" w:cs="Arial"/>
      </w:rPr>
      <w:t>Report</w:t>
    </w:r>
    <w:r w:rsidR="004277A1">
      <w:rPr>
        <w:rFonts w:ascii="Arial" w:hAnsi="Arial" w:cs="Arial"/>
      </w:rPr>
      <w:t xml:space="preserve">  </w:t>
    </w:r>
    <w:r w:rsidR="004F43AD">
      <w:rPr>
        <w:rFonts w:ascii="Arial" w:hAnsi="Arial" w:cs="Arial"/>
      </w:rPr>
      <w:t>-</w:t>
    </w:r>
    <w:proofErr w:type="gramEnd"/>
    <w:r w:rsidR="004F43AD">
      <w:rPr>
        <w:rFonts w:ascii="Arial" w:hAnsi="Arial" w:cs="Arial"/>
      </w:rPr>
      <w:t xml:space="preserve"> </w:t>
    </w:r>
    <w:r w:rsidR="00DF50E6">
      <w:rPr>
        <w:rFonts w:ascii="Arial" w:hAnsi="Arial" w:cs="Arial"/>
      </w:rPr>
      <w:t>Introduction to Light and Spectroscopy</w:t>
    </w:r>
    <w:r w:rsidR="004277A1">
      <w:rPr>
        <w:rFonts w:ascii="Arial" w:hAnsi="Arial" w:cs="Arial"/>
      </w:rPr>
      <w:t xml:space="preserve">        </w:t>
    </w:r>
    <w:r w:rsidR="002333F3">
      <w:rPr>
        <w:rFonts w:ascii="Arial" w:hAnsi="Arial" w:cs="Arial"/>
      </w:rPr>
      <w:t xml:space="preserve">        </w:t>
    </w:r>
    <w:r w:rsidR="000440F6">
      <w:rPr>
        <w:rFonts w:ascii="Arial" w:hAnsi="Arial" w:cs="Arial"/>
      </w:rPr>
      <w:t xml:space="preserve"> </w:t>
    </w:r>
    <w:r w:rsidR="00C4206C">
      <w:rPr>
        <w:rFonts w:ascii="Arial" w:hAnsi="Arial" w:cs="Arial"/>
      </w:rPr>
      <w:t xml:space="preserve"> </w:t>
    </w:r>
    <w:r w:rsidR="002333F3">
      <w:rPr>
        <w:rFonts w:ascii="Arial" w:hAnsi="Arial" w:cs="Arial"/>
      </w:rPr>
      <w:t xml:space="preserve"> </w:t>
    </w:r>
    <w:r w:rsidR="000440F6">
      <w:rPr>
        <w:rFonts w:ascii="Arial" w:hAnsi="Arial" w:cs="Arial"/>
      </w:rPr>
      <w:t xml:space="preserve">     </w:t>
    </w:r>
    <w:r w:rsidR="00907282">
      <w:rPr>
        <w:rFonts w:ascii="Arial" w:hAnsi="Arial" w:cs="Arial"/>
      </w:rPr>
      <w:t xml:space="preserve">                     </w:t>
    </w:r>
    <w:r w:rsidR="00392844">
      <w:rPr>
        <w:rFonts w:ascii="Arial" w:hAnsi="Arial" w:cs="Arial"/>
      </w:rPr>
      <w:t xml:space="preserve">                </w:t>
    </w:r>
    <w:r w:rsidR="00907282">
      <w:rPr>
        <w:rFonts w:ascii="Arial" w:hAnsi="Arial" w:cs="Arial"/>
      </w:rPr>
      <w:t xml:space="preserve">                 </w:t>
    </w:r>
    <w:r>
      <w:rPr>
        <w:rFonts w:ascii="Arial" w:hAnsi="Arial" w:cs="Arial"/>
      </w:rPr>
      <w:t xml:space="preserve">                   </w:t>
    </w:r>
    <w:r w:rsidR="0012262E">
      <w:rPr>
        <w:rFonts w:ascii="Arial" w:hAnsi="Arial" w:cs="Arial"/>
      </w:rPr>
      <w:t xml:space="preserve">                </w:t>
    </w:r>
    <w:r>
      <w:rPr>
        <w:rFonts w:ascii="Arial" w:hAnsi="Arial" w:cs="Arial"/>
      </w:rPr>
      <w:t xml:space="preserve">     </w:t>
    </w:r>
    <w:r w:rsidR="00907282">
      <w:rPr>
        <w:rFonts w:ascii="Arial" w:hAnsi="Arial" w:cs="Arial"/>
      </w:rPr>
      <w:t xml:space="preserve"> </w:t>
    </w:r>
    <w:r w:rsidRPr="005626F9">
      <w:rPr>
        <w:rFonts w:ascii="Arial" w:hAnsi="Arial" w:cs="Arial"/>
        <w:i/>
      </w:rPr>
      <w:t>[</w:t>
    </w:r>
    <w:r w:rsidR="00334B7D">
      <w:rPr>
        <w:rFonts w:ascii="Arial" w:hAnsi="Arial" w:cs="Arial"/>
      </w:rPr>
      <w:t>Angelika Gomez</w:t>
    </w:r>
    <w:r>
      <w:rPr>
        <w:rFonts w:ascii="Arial" w:hAnsi="Arial" w:cs="Arial"/>
        <w:i/>
      </w:rPr>
      <w:t>]</w:t>
    </w:r>
  </w:p>
  <w:p w:rsidR="005626F9" w:rsidRPr="005118A4" w:rsidRDefault="005118A4" w:rsidP="005118A4">
    <w:pPr>
      <w:pStyle w:val="Header"/>
      <w:spacing w:line="276" w:lineRule="auto"/>
      <w:rPr>
        <w:rFonts w:ascii="Arial" w:hAnsi="Arial" w:cs="Arial"/>
        <w:i/>
      </w:rPr>
    </w:pPr>
    <w:r w:rsidRPr="005118A4">
      <w:rPr>
        <w:rFonts w:ascii="Arial" w:hAnsi="Arial" w:cs="Arial"/>
        <w:i/>
      </w:rPr>
      <w:t>[</w:t>
    </w:r>
    <w:r w:rsidR="00334B7D">
      <w:rPr>
        <w:rFonts w:ascii="Arial" w:hAnsi="Arial" w:cs="Arial"/>
        <w:i/>
      </w:rPr>
      <w:t>11/03/19</w:t>
    </w:r>
    <w:r w:rsidRPr="005118A4">
      <w:rPr>
        <w:rFonts w:ascii="Arial" w:hAnsi="Arial" w:cs="Arial"/>
        <w:i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03D4C"/>
    <w:multiLevelType w:val="hybridMultilevel"/>
    <w:tmpl w:val="5E4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1E"/>
    <w:rsid w:val="00007021"/>
    <w:rsid w:val="000440F6"/>
    <w:rsid w:val="00086B43"/>
    <w:rsid w:val="000C2D08"/>
    <w:rsid w:val="000D061A"/>
    <w:rsid w:val="00112D79"/>
    <w:rsid w:val="0012262E"/>
    <w:rsid w:val="001410F5"/>
    <w:rsid w:val="0016699A"/>
    <w:rsid w:val="00176BA5"/>
    <w:rsid w:val="0018742A"/>
    <w:rsid w:val="00197C47"/>
    <w:rsid w:val="001B53B0"/>
    <w:rsid w:val="001C3FC5"/>
    <w:rsid w:val="002137B1"/>
    <w:rsid w:val="00225543"/>
    <w:rsid w:val="002333F3"/>
    <w:rsid w:val="00260C7B"/>
    <w:rsid w:val="00271425"/>
    <w:rsid w:val="002B11AD"/>
    <w:rsid w:val="002B5265"/>
    <w:rsid w:val="002D4B23"/>
    <w:rsid w:val="002E1A92"/>
    <w:rsid w:val="002E453C"/>
    <w:rsid w:val="003033B6"/>
    <w:rsid w:val="0032467D"/>
    <w:rsid w:val="00334B7D"/>
    <w:rsid w:val="003368B6"/>
    <w:rsid w:val="00354FF1"/>
    <w:rsid w:val="00392844"/>
    <w:rsid w:val="00414629"/>
    <w:rsid w:val="00420987"/>
    <w:rsid w:val="004277A1"/>
    <w:rsid w:val="00471E00"/>
    <w:rsid w:val="00480F0A"/>
    <w:rsid w:val="004B6E3A"/>
    <w:rsid w:val="004B7872"/>
    <w:rsid w:val="004C138C"/>
    <w:rsid w:val="004F43AD"/>
    <w:rsid w:val="00506FAF"/>
    <w:rsid w:val="005118A4"/>
    <w:rsid w:val="0055499C"/>
    <w:rsid w:val="005626F9"/>
    <w:rsid w:val="00564B0B"/>
    <w:rsid w:val="005C30F8"/>
    <w:rsid w:val="005F236E"/>
    <w:rsid w:val="0063437C"/>
    <w:rsid w:val="00643233"/>
    <w:rsid w:val="00647324"/>
    <w:rsid w:val="0067616C"/>
    <w:rsid w:val="006E62B6"/>
    <w:rsid w:val="007301B6"/>
    <w:rsid w:val="008014AC"/>
    <w:rsid w:val="00802887"/>
    <w:rsid w:val="00863C2B"/>
    <w:rsid w:val="008B2300"/>
    <w:rsid w:val="008C5208"/>
    <w:rsid w:val="008F092B"/>
    <w:rsid w:val="008F1921"/>
    <w:rsid w:val="009001AA"/>
    <w:rsid w:val="00907282"/>
    <w:rsid w:val="009167F5"/>
    <w:rsid w:val="00934764"/>
    <w:rsid w:val="009405E4"/>
    <w:rsid w:val="0096723D"/>
    <w:rsid w:val="009816D0"/>
    <w:rsid w:val="00985E13"/>
    <w:rsid w:val="00996BB8"/>
    <w:rsid w:val="009E021A"/>
    <w:rsid w:val="00A03DFE"/>
    <w:rsid w:val="00A30C25"/>
    <w:rsid w:val="00A547B5"/>
    <w:rsid w:val="00A617C7"/>
    <w:rsid w:val="00AD5219"/>
    <w:rsid w:val="00AD637A"/>
    <w:rsid w:val="00AE50D2"/>
    <w:rsid w:val="00B675B0"/>
    <w:rsid w:val="00B85DD9"/>
    <w:rsid w:val="00BB061E"/>
    <w:rsid w:val="00BC3E80"/>
    <w:rsid w:val="00BE1810"/>
    <w:rsid w:val="00C4206C"/>
    <w:rsid w:val="00C53202"/>
    <w:rsid w:val="00C64824"/>
    <w:rsid w:val="00C91522"/>
    <w:rsid w:val="00CB140C"/>
    <w:rsid w:val="00CE2A60"/>
    <w:rsid w:val="00D37FAF"/>
    <w:rsid w:val="00D475E5"/>
    <w:rsid w:val="00D7015A"/>
    <w:rsid w:val="00DA00F7"/>
    <w:rsid w:val="00DB47FB"/>
    <w:rsid w:val="00DF50E6"/>
    <w:rsid w:val="00E159CD"/>
    <w:rsid w:val="00E223E6"/>
    <w:rsid w:val="00E24A2C"/>
    <w:rsid w:val="00E5593A"/>
    <w:rsid w:val="00E56EE9"/>
    <w:rsid w:val="00E74824"/>
    <w:rsid w:val="00E908D9"/>
    <w:rsid w:val="00EE2AF6"/>
    <w:rsid w:val="00F062A0"/>
    <w:rsid w:val="00F42CDA"/>
    <w:rsid w:val="00F46FDF"/>
    <w:rsid w:val="00F72B38"/>
    <w:rsid w:val="00F76F16"/>
    <w:rsid w:val="00F91EA5"/>
    <w:rsid w:val="00FD0A35"/>
    <w:rsid w:val="00FD2FA2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0F6"/>
  </w:style>
  <w:style w:type="paragraph" w:styleId="Footer">
    <w:name w:val="footer"/>
    <w:basedOn w:val="Normal"/>
    <w:link w:val="FooterChar"/>
    <w:uiPriority w:val="99"/>
    <w:unhideWhenUsed/>
    <w:rsid w:val="00044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F6"/>
  </w:style>
  <w:style w:type="character" w:styleId="PageNumber">
    <w:name w:val="page number"/>
    <w:basedOn w:val="DefaultParagraphFont"/>
    <w:uiPriority w:val="99"/>
    <w:semiHidden/>
    <w:unhideWhenUsed/>
    <w:rsid w:val="004B6E3A"/>
  </w:style>
  <w:style w:type="paragraph" w:styleId="BalloonText">
    <w:name w:val="Balloon Text"/>
    <w:basedOn w:val="Normal"/>
    <w:link w:val="BalloonTextChar"/>
    <w:uiPriority w:val="99"/>
    <w:semiHidden/>
    <w:unhideWhenUsed/>
    <w:rsid w:val="00176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0F6"/>
  </w:style>
  <w:style w:type="paragraph" w:styleId="Footer">
    <w:name w:val="footer"/>
    <w:basedOn w:val="Normal"/>
    <w:link w:val="FooterChar"/>
    <w:uiPriority w:val="99"/>
    <w:unhideWhenUsed/>
    <w:rsid w:val="00044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F6"/>
  </w:style>
  <w:style w:type="character" w:styleId="PageNumber">
    <w:name w:val="page number"/>
    <w:basedOn w:val="DefaultParagraphFont"/>
    <w:uiPriority w:val="99"/>
    <w:semiHidden/>
    <w:unhideWhenUsed/>
    <w:rsid w:val="004B6E3A"/>
  </w:style>
  <w:style w:type="paragraph" w:styleId="BalloonText">
    <w:name w:val="Balloon Text"/>
    <w:basedOn w:val="Normal"/>
    <w:link w:val="BalloonTextChar"/>
    <w:uiPriority w:val="99"/>
    <w:semiHidden/>
    <w:unhideWhenUsed/>
    <w:rsid w:val="00176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 b="0"/>
              <a:t>Wavelength</a:t>
            </a:r>
            <a:r>
              <a:rPr lang="en-US" sz="1400" b="0" baseline="0"/>
              <a:t> Verse Absorbance of Red Solution</a:t>
            </a:r>
            <a:endParaRPr lang="en-US" sz="1400" b="0"/>
          </a:p>
        </c:rich>
      </c:tx>
      <c:layout>
        <c:manualLayout>
          <c:xMode val="edge"/>
          <c:yMode val="edge"/>
          <c:x val="0.12434711286089239"/>
          <c:y val="0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Sheet1!$A$1:$A$31</c:f>
              <c:numCache>
                <c:formatCode>General</c:formatCode>
                <c:ptCount val="31"/>
                <c:pt idx="0">
                  <c:v>400</c:v>
                </c:pt>
                <c:pt idx="1">
                  <c:v>410</c:v>
                </c:pt>
                <c:pt idx="2">
                  <c:v>420</c:v>
                </c:pt>
                <c:pt idx="3">
                  <c:v>430</c:v>
                </c:pt>
                <c:pt idx="4">
                  <c:v>440</c:v>
                </c:pt>
                <c:pt idx="5">
                  <c:v>450</c:v>
                </c:pt>
                <c:pt idx="6">
                  <c:v>460</c:v>
                </c:pt>
                <c:pt idx="7">
                  <c:v>470</c:v>
                </c:pt>
                <c:pt idx="8">
                  <c:v>480</c:v>
                </c:pt>
                <c:pt idx="9">
                  <c:v>490</c:v>
                </c:pt>
                <c:pt idx="10">
                  <c:v>500</c:v>
                </c:pt>
                <c:pt idx="11">
                  <c:v>510</c:v>
                </c:pt>
                <c:pt idx="12">
                  <c:v>520</c:v>
                </c:pt>
                <c:pt idx="13">
                  <c:v>530</c:v>
                </c:pt>
                <c:pt idx="14">
                  <c:v>540</c:v>
                </c:pt>
                <c:pt idx="15">
                  <c:v>550</c:v>
                </c:pt>
                <c:pt idx="16">
                  <c:v>560</c:v>
                </c:pt>
                <c:pt idx="17">
                  <c:v>570</c:v>
                </c:pt>
                <c:pt idx="18">
                  <c:v>580</c:v>
                </c:pt>
                <c:pt idx="19">
                  <c:v>590</c:v>
                </c:pt>
                <c:pt idx="20">
                  <c:v>600</c:v>
                </c:pt>
                <c:pt idx="21">
                  <c:v>610</c:v>
                </c:pt>
                <c:pt idx="22">
                  <c:v>620</c:v>
                </c:pt>
                <c:pt idx="23">
                  <c:v>630</c:v>
                </c:pt>
                <c:pt idx="24">
                  <c:v>640</c:v>
                </c:pt>
                <c:pt idx="25">
                  <c:v>650</c:v>
                </c:pt>
                <c:pt idx="26">
                  <c:v>660</c:v>
                </c:pt>
                <c:pt idx="27">
                  <c:v>670</c:v>
                </c:pt>
                <c:pt idx="28">
                  <c:v>680</c:v>
                </c:pt>
                <c:pt idx="29">
                  <c:v>690</c:v>
                </c:pt>
                <c:pt idx="30">
                  <c:v>700</c:v>
                </c:pt>
              </c:numCache>
            </c:numRef>
          </c:xVal>
          <c:yVal>
            <c:numRef>
              <c:f>Sheet1!$C$1:$C$31</c:f>
              <c:numCache>
                <c:formatCode>General</c:formatCode>
                <c:ptCount val="31"/>
                <c:pt idx="0">
                  <c:v>0.38721614328026455</c:v>
                </c:pt>
                <c:pt idx="1">
                  <c:v>0.4089353929735009</c:v>
                </c:pt>
                <c:pt idx="2">
                  <c:v>0.4089353929735009</c:v>
                </c:pt>
                <c:pt idx="3">
                  <c:v>0.42021640338318988</c:v>
                </c:pt>
                <c:pt idx="4">
                  <c:v>0.49485002168009395</c:v>
                </c:pt>
                <c:pt idx="5">
                  <c:v>0.58502665202918203</c:v>
                </c:pt>
                <c:pt idx="6">
                  <c:v>0.76955107862172611</c:v>
                </c:pt>
                <c:pt idx="7">
                  <c:v>0.95860731484177486</c:v>
                </c:pt>
                <c:pt idx="8">
                  <c:v>1.1549019599857431</c:v>
                </c:pt>
                <c:pt idx="9">
                  <c:v>1.3979400086720375</c:v>
                </c:pt>
                <c:pt idx="10">
                  <c:v>1.3979400086720375</c:v>
                </c:pt>
                <c:pt idx="11">
                  <c:v>1.3979400086720375</c:v>
                </c:pt>
                <c:pt idx="12">
                  <c:v>1.3979400086720375</c:v>
                </c:pt>
                <c:pt idx="13">
                  <c:v>1.2218487496163564</c:v>
                </c:pt>
                <c:pt idx="14">
                  <c:v>1.0457574905606752</c:v>
                </c:pt>
                <c:pt idx="15">
                  <c:v>0.69897000433601875</c:v>
                </c:pt>
                <c:pt idx="16">
                  <c:v>0.4089353929735009</c:v>
                </c:pt>
                <c:pt idx="17">
                  <c:v>0.18045606445813123</c:v>
                </c:pt>
                <c:pt idx="18">
                  <c:v>9.1514981121350258E-2</c:v>
                </c:pt>
                <c:pt idx="19">
                  <c:v>3.1517051446064981E-2</c:v>
                </c:pt>
                <c:pt idx="20">
                  <c:v>8.773924307505121E-3</c:v>
                </c:pt>
                <c:pt idx="21">
                  <c:v>-8.6001717619175189E-3</c:v>
                </c:pt>
                <c:pt idx="22">
                  <c:v>-4.3213737826426346E-3</c:v>
                </c:pt>
                <c:pt idx="23">
                  <c:v>-4.3213737826426346E-3</c:v>
                </c:pt>
                <c:pt idx="24">
                  <c:v>4.3648054024501004E-3</c:v>
                </c:pt>
                <c:pt idx="25">
                  <c:v>-1.2837224705172012E-2</c:v>
                </c:pt>
                <c:pt idx="26">
                  <c:v>-4.3213737826426346E-3</c:v>
                </c:pt>
                <c:pt idx="27">
                  <c:v>0</c:v>
                </c:pt>
                <c:pt idx="28">
                  <c:v>-4.3213737826426346E-3</c:v>
                </c:pt>
                <c:pt idx="29">
                  <c:v>0</c:v>
                </c:pt>
                <c:pt idx="30">
                  <c:v>-8.6001717619175189E-3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954944"/>
        <c:axId val="231171968"/>
      </c:scatterChart>
      <c:valAx>
        <c:axId val="175954944"/>
        <c:scaling>
          <c:orientation val="minMax"/>
          <c:max val="700"/>
          <c:min val="4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Wavelength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1171968"/>
        <c:crosses val="autoZero"/>
        <c:crossBetween val="midCat"/>
      </c:valAx>
      <c:valAx>
        <c:axId val="231171968"/>
        <c:scaling>
          <c:orientation val="minMax"/>
          <c:max val="1.5"/>
          <c:min val="-0.2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5954944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 b="0"/>
              <a:t>Wavelength Verse Absorbtion for Blue</a:t>
            </a:r>
            <a:r>
              <a:rPr lang="en-US" sz="1400" b="0" baseline="0"/>
              <a:t> Solution</a:t>
            </a:r>
            <a:endParaRPr lang="en-US" sz="1400" b="0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Sheet1!$A$1:$A$31</c:f>
              <c:numCache>
                <c:formatCode>General</c:formatCode>
                <c:ptCount val="31"/>
                <c:pt idx="0">
                  <c:v>400</c:v>
                </c:pt>
                <c:pt idx="1">
                  <c:v>410</c:v>
                </c:pt>
                <c:pt idx="2">
                  <c:v>420</c:v>
                </c:pt>
                <c:pt idx="3">
                  <c:v>430</c:v>
                </c:pt>
                <c:pt idx="4">
                  <c:v>440</c:v>
                </c:pt>
                <c:pt idx="5">
                  <c:v>450</c:v>
                </c:pt>
                <c:pt idx="6">
                  <c:v>460</c:v>
                </c:pt>
                <c:pt idx="7">
                  <c:v>470</c:v>
                </c:pt>
                <c:pt idx="8">
                  <c:v>480</c:v>
                </c:pt>
                <c:pt idx="9">
                  <c:v>490</c:v>
                </c:pt>
                <c:pt idx="10">
                  <c:v>500</c:v>
                </c:pt>
                <c:pt idx="11">
                  <c:v>510</c:v>
                </c:pt>
                <c:pt idx="12">
                  <c:v>520</c:v>
                </c:pt>
                <c:pt idx="13">
                  <c:v>530</c:v>
                </c:pt>
                <c:pt idx="14">
                  <c:v>540</c:v>
                </c:pt>
                <c:pt idx="15">
                  <c:v>550</c:v>
                </c:pt>
                <c:pt idx="16">
                  <c:v>560</c:v>
                </c:pt>
                <c:pt idx="17">
                  <c:v>570</c:v>
                </c:pt>
                <c:pt idx="18">
                  <c:v>580</c:v>
                </c:pt>
                <c:pt idx="19">
                  <c:v>590</c:v>
                </c:pt>
                <c:pt idx="20">
                  <c:v>600</c:v>
                </c:pt>
                <c:pt idx="21">
                  <c:v>610</c:v>
                </c:pt>
                <c:pt idx="22">
                  <c:v>620</c:v>
                </c:pt>
                <c:pt idx="23">
                  <c:v>630</c:v>
                </c:pt>
                <c:pt idx="24">
                  <c:v>640</c:v>
                </c:pt>
                <c:pt idx="25">
                  <c:v>650</c:v>
                </c:pt>
                <c:pt idx="26">
                  <c:v>660</c:v>
                </c:pt>
                <c:pt idx="27">
                  <c:v>670</c:v>
                </c:pt>
                <c:pt idx="28">
                  <c:v>680</c:v>
                </c:pt>
                <c:pt idx="29">
                  <c:v>690</c:v>
                </c:pt>
                <c:pt idx="30">
                  <c:v>700</c:v>
                </c:pt>
              </c:numCache>
            </c:numRef>
          </c:xVal>
          <c:yVal>
            <c:numRef>
              <c:f>Sheet1!$C$1:$C$31</c:f>
              <c:numCache>
                <c:formatCode>General</c:formatCode>
                <c:ptCount val="31"/>
                <c:pt idx="0">
                  <c:v>0.26760624017703138</c:v>
                </c:pt>
                <c:pt idx="1">
                  <c:v>0.29242982390206373</c:v>
                </c:pt>
                <c:pt idx="2">
                  <c:v>0.17392519729917355</c:v>
                </c:pt>
                <c:pt idx="3">
                  <c:v>6.5501548756432326E-2</c:v>
                </c:pt>
                <c:pt idx="4">
                  <c:v>3.6212172654444652E-2</c:v>
                </c:pt>
                <c:pt idx="5">
                  <c:v>2.227639471115217E-2</c:v>
                </c:pt>
                <c:pt idx="6">
                  <c:v>1.322826573375524E-2</c:v>
                </c:pt>
                <c:pt idx="7">
                  <c:v>1.322826573375524E-2</c:v>
                </c:pt>
                <c:pt idx="8">
                  <c:v>1.322826573375524E-2</c:v>
                </c:pt>
                <c:pt idx="9">
                  <c:v>1.7728766960431575E-2</c:v>
                </c:pt>
                <c:pt idx="10">
                  <c:v>2.6872146400301444E-2</c:v>
                </c:pt>
                <c:pt idx="11">
                  <c:v>4.5757490560675018E-2</c:v>
                </c:pt>
                <c:pt idx="12">
                  <c:v>8.0921907623926037E-2</c:v>
                </c:pt>
                <c:pt idx="13">
                  <c:v>0.11350927482751816</c:v>
                </c:pt>
                <c:pt idx="14">
                  <c:v>0.16749108729376361</c:v>
                </c:pt>
                <c:pt idx="15">
                  <c:v>0.23657200643706267</c:v>
                </c:pt>
                <c:pt idx="16">
                  <c:v>0.34678748622465627</c:v>
                </c:pt>
                <c:pt idx="17">
                  <c:v>0.50863830616572736</c:v>
                </c:pt>
                <c:pt idx="18">
                  <c:v>0.69897000433601875</c:v>
                </c:pt>
                <c:pt idx="19">
                  <c:v>0.85387196432176204</c:v>
                </c:pt>
                <c:pt idx="20">
                  <c:v>1.0969100130080565</c:v>
                </c:pt>
                <c:pt idx="21">
                  <c:v>1.5228787452803376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1.2218487496163564</c:v>
                </c:pt>
                <c:pt idx="26">
                  <c:v>0.60205999132796229</c:v>
                </c:pt>
                <c:pt idx="27">
                  <c:v>0.23657200643706267</c:v>
                </c:pt>
                <c:pt idx="28">
                  <c:v>9.6910013008056461E-2</c:v>
                </c:pt>
                <c:pt idx="29">
                  <c:v>4.5757490560675018E-2</c:v>
                </c:pt>
                <c:pt idx="30">
                  <c:v>2.227639471115217E-2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3811840"/>
        <c:axId val="263824128"/>
      </c:scatterChart>
      <c:valAx>
        <c:axId val="263811840"/>
        <c:scaling>
          <c:orientation val="minMax"/>
          <c:max val="700"/>
          <c:min val="4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Wavelength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3824128"/>
        <c:crosses val="autoZero"/>
        <c:crossBetween val="midCat"/>
      </c:valAx>
      <c:valAx>
        <c:axId val="263824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Absprbance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381184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White</dc:creator>
  <cp:lastModifiedBy>angelikaortiz6@gmail.com</cp:lastModifiedBy>
  <cp:revision>2</cp:revision>
  <dcterms:created xsi:type="dcterms:W3CDTF">2019-10-30T03:36:00Z</dcterms:created>
  <dcterms:modified xsi:type="dcterms:W3CDTF">2019-10-30T03:36:00Z</dcterms:modified>
</cp:coreProperties>
</file>