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8"/>
        <w:gridCol w:w="4322"/>
      </w:tblGrid>
      <w:tr w:rsidR="00391E8E" w14:paraId="1752F75A"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76AE49D2" w14:textId="1903D04A" w:rsidR="00391E8E" w:rsidRDefault="00391E8E" w:rsidP="00391E8E">
            <w:pPr>
              <w:rPr>
                <w:rFonts w:ascii="Calibri" w:eastAsia="Calibri" w:hAnsi="Calibri" w:cs="Tahoma"/>
                <w:b/>
                <w:sz w:val="22"/>
                <w:szCs w:val="22"/>
              </w:rPr>
            </w:pPr>
            <w:r>
              <w:rPr>
                <w:rFonts w:ascii="Calibri" w:eastAsia="Calibri" w:hAnsi="Calibri" w:cs="Tahoma"/>
                <w:b/>
                <w:sz w:val="22"/>
                <w:szCs w:val="22"/>
              </w:rPr>
              <w:t xml:space="preserve">Name: </w:t>
            </w:r>
            <w:r w:rsidR="002B6514" w:rsidRPr="002B6514">
              <w:rPr>
                <w:rFonts w:ascii="Calibri" w:eastAsia="Calibri" w:hAnsi="Calibri" w:cs="Tahoma"/>
                <w:sz w:val="22"/>
                <w:szCs w:val="22"/>
              </w:rPr>
              <w:t>Abby Deguzman</w:t>
            </w:r>
            <w:bookmarkStart w:id="0" w:name="_GoBack"/>
            <w:bookmarkEnd w:id="0"/>
          </w:p>
        </w:tc>
      </w:tr>
      <w:tr w:rsidR="00391E8E" w14:paraId="2F9A8FA4"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64E7E71F" w14:textId="5C51F7F5" w:rsidR="00391E8E" w:rsidRDefault="00391E8E">
            <w:pPr>
              <w:rPr>
                <w:rFonts w:ascii="Calibri" w:eastAsia="Calibri" w:hAnsi="Calibri" w:cs="Tahoma"/>
                <w:b/>
                <w:sz w:val="22"/>
                <w:szCs w:val="22"/>
              </w:rPr>
            </w:pPr>
            <w:r>
              <w:rPr>
                <w:rFonts w:ascii="Calibri" w:eastAsia="Calibri" w:hAnsi="Calibri" w:cs="Tahoma"/>
                <w:b/>
                <w:sz w:val="22"/>
                <w:szCs w:val="22"/>
              </w:rPr>
              <w:t xml:space="preserve">Subject &amp; Grade: </w:t>
            </w:r>
            <w:r w:rsidR="002B6514" w:rsidRPr="002B6514">
              <w:rPr>
                <w:rFonts w:ascii="Calibri" w:eastAsia="Calibri" w:hAnsi="Calibri" w:cs="Tahoma"/>
                <w:sz w:val="22"/>
                <w:szCs w:val="22"/>
              </w:rPr>
              <w:t>First Grade, English</w:t>
            </w:r>
          </w:p>
        </w:tc>
      </w:tr>
      <w:tr w:rsidR="00391E8E" w14:paraId="319A4883"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57855853" w14:textId="041129A8" w:rsidR="00391E8E" w:rsidRDefault="00273A11">
            <w:pPr>
              <w:autoSpaceDE w:val="0"/>
              <w:autoSpaceDN w:val="0"/>
              <w:adjustRightInd w:val="0"/>
              <w:rPr>
                <w:rFonts w:ascii="Calibri" w:eastAsia="Calibri" w:hAnsi="Calibri" w:cs="Tahoma"/>
                <w:b/>
                <w:sz w:val="22"/>
                <w:szCs w:val="22"/>
              </w:rPr>
            </w:pPr>
            <w:r>
              <w:rPr>
                <w:rFonts w:ascii="Calibri" w:eastAsia="Calibri" w:hAnsi="Calibri" w:cs="Tahoma"/>
                <w:b/>
                <w:sz w:val="22"/>
                <w:szCs w:val="22"/>
              </w:rPr>
              <w:t xml:space="preserve">General Objective (Big Idea):  </w:t>
            </w:r>
            <w:r w:rsidRPr="002B6514">
              <w:rPr>
                <w:rFonts w:ascii="Calibri" w:eastAsia="Calibri" w:hAnsi="Calibri" w:cs="Tahoma"/>
                <w:sz w:val="22"/>
                <w:szCs w:val="22"/>
              </w:rPr>
              <w:t>The students will understand…</w:t>
            </w:r>
            <w:r w:rsidR="002B6514" w:rsidRPr="002B6514">
              <w:rPr>
                <w:rFonts w:ascii="Calibri" w:eastAsia="Calibri" w:hAnsi="Calibri" w:cs="Tahoma"/>
                <w:sz w:val="22"/>
                <w:szCs w:val="22"/>
              </w:rPr>
              <w:t xml:space="preserve"> the use of </w:t>
            </w:r>
            <w:r w:rsidR="007116C3">
              <w:rPr>
                <w:rFonts w:ascii="Calibri" w:eastAsia="Calibri" w:hAnsi="Calibri" w:cs="Tahoma"/>
                <w:sz w:val="22"/>
                <w:szCs w:val="22"/>
              </w:rPr>
              <w:t>“</w:t>
            </w:r>
            <w:r w:rsidR="002B6514" w:rsidRPr="002B6514">
              <w:rPr>
                <w:rFonts w:ascii="Calibri" w:eastAsia="Calibri" w:hAnsi="Calibri" w:cs="Tahoma"/>
                <w:sz w:val="22"/>
                <w:szCs w:val="22"/>
              </w:rPr>
              <w:t>they, them, their</w:t>
            </w:r>
            <w:r w:rsidR="007116C3">
              <w:rPr>
                <w:rFonts w:ascii="Calibri" w:eastAsia="Calibri" w:hAnsi="Calibri" w:cs="Tahoma"/>
                <w:sz w:val="22"/>
                <w:szCs w:val="22"/>
              </w:rPr>
              <w:t>”</w:t>
            </w:r>
            <w:r w:rsidR="002B6514" w:rsidRPr="002B6514">
              <w:rPr>
                <w:rFonts w:ascii="Calibri" w:eastAsia="Calibri" w:hAnsi="Calibri" w:cs="Tahoma"/>
                <w:sz w:val="22"/>
                <w:szCs w:val="22"/>
              </w:rPr>
              <w:t xml:space="preserve"> to refer to everyone or to a person.</w:t>
            </w:r>
          </w:p>
        </w:tc>
      </w:tr>
      <w:tr w:rsidR="00391E8E" w14:paraId="571ADFCA"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06DC93B3" w14:textId="46EE499B" w:rsidR="00391E8E" w:rsidRDefault="00391E8E">
            <w:pPr>
              <w:autoSpaceDE w:val="0"/>
              <w:autoSpaceDN w:val="0"/>
              <w:adjustRightInd w:val="0"/>
              <w:rPr>
                <w:rFonts w:ascii="Calibri" w:eastAsia="Calibri" w:hAnsi="Calibri" w:cs="Tahoma"/>
                <w:b/>
                <w:sz w:val="22"/>
                <w:szCs w:val="22"/>
              </w:rPr>
            </w:pPr>
            <w:r>
              <w:rPr>
                <w:rFonts w:ascii="Calibri" w:eastAsia="Calibri" w:hAnsi="Calibri" w:cs="Tahoma"/>
                <w:b/>
                <w:sz w:val="22"/>
                <w:szCs w:val="22"/>
              </w:rPr>
              <w:t>NCTE/IRA Standard(s):</w:t>
            </w:r>
            <w:r w:rsidR="002B6514">
              <w:rPr>
                <w:rFonts w:ascii="Calibri" w:eastAsia="Calibri" w:hAnsi="Calibri" w:cs="Tahoma"/>
                <w:b/>
                <w:sz w:val="22"/>
                <w:szCs w:val="22"/>
              </w:rPr>
              <w:t xml:space="preserve"> </w:t>
            </w:r>
            <w:r w:rsidR="002B6514" w:rsidRPr="002B6514">
              <w:rPr>
                <w:rFonts w:ascii="Calibri" w:eastAsia="Calibri" w:hAnsi="Calibri" w:cs="Tahoma"/>
                <w:sz w:val="22"/>
                <w:szCs w:val="22"/>
              </w:rPr>
              <w:t>Students apply knowledge of language structure, language conventions, media techniques, figurative language, and genre to create, critique, and discuss print and non-print texts.</w:t>
            </w:r>
          </w:p>
        </w:tc>
      </w:tr>
      <w:tr w:rsidR="00391E8E" w14:paraId="7F3A922A"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3D083734" w14:textId="7D2B8084" w:rsidR="00391E8E" w:rsidRPr="002B6514" w:rsidRDefault="00391E8E" w:rsidP="00391E8E">
            <w:pPr>
              <w:rPr>
                <w:rFonts w:ascii="Calibri" w:eastAsia="Calibri" w:hAnsi="Calibri" w:cs="Tahoma"/>
                <w:b/>
                <w:sz w:val="22"/>
                <w:szCs w:val="22"/>
              </w:rPr>
            </w:pPr>
            <w:r>
              <w:rPr>
                <w:rFonts w:ascii="Calibri" w:eastAsia="Calibri" w:hAnsi="Calibri" w:cs="Tahoma"/>
                <w:b/>
                <w:sz w:val="22"/>
                <w:szCs w:val="22"/>
              </w:rPr>
              <w:t xml:space="preserve">SOL (s) </w:t>
            </w:r>
            <w:r>
              <w:rPr>
                <w:rFonts w:ascii="Calibri" w:eastAsia="Calibri" w:hAnsi="Calibri" w:cs="Tahoma"/>
                <w:color w:val="0000FF"/>
                <w:sz w:val="22"/>
                <w:szCs w:val="22"/>
              </w:rPr>
              <w:t>[Include both the numbers and text of the standards.]</w:t>
            </w:r>
            <w:r w:rsidR="002B6514">
              <w:rPr>
                <w:rFonts w:ascii="Calibri" w:eastAsia="Calibri" w:hAnsi="Calibri" w:cs="Tahoma"/>
                <w:color w:val="0000FF"/>
                <w:sz w:val="22"/>
                <w:szCs w:val="22"/>
              </w:rPr>
              <w:t xml:space="preserve">: </w:t>
            </w:r>
            <w:r w:rsidR="002B6514">
              <w:rPr>
                <w:rFonts w:ascii="Calibri" w:eastAsia="Calibri" w:hAnsi="Calibri" w:cs="Tahoma"/>
                <w:sz w:val="22"/>
                <w:szCs w:val="22"/>
              </w:rPr>
              <w:t>1.2</w:t>
            </w:r>
            <w:r w:rsidR="009A7A87">
              <w:rPr>
                <w:rFonts w:ascii="Calibri" w:eastAsia="Calibri" w:hAnsi="Calibri" w:cs="Tahoma"/>
                <w:sz w:val="22"/>
                <w:szCs w:val="22"/>
              </w:rPr>
              <w:t>- The student will expand understanding and use of word meanings. C) Use common singular and plural nouns.</w:t>
            </w:r>
          </w:p>
        </w:tc>
      </w:tr>
      <w:tr w:rsidR="00391E8E" w14:paraId="354B9D6C"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05065204" w14:textId="77777777" w:rsidR="00391E8E" w:rsidRDefault="00391E8E">
            <w:pPr>
              <w:rPr>
                <w:sz w:val="20"/>
                <w:szCs w:val="20"/>
              </w:rPr>
            </w:pPr>
          </w:p>
        </w:tc>
        <w:tc>
          <w:tcPr>
            <w:tcW w:w="4322" w:type="dxa"/>
            <w:tcBorders>
              <w:top w:val="single" w:sz="4" w:space="0" w:color="000000"/>
              <w:left w:val="single" w:sz="4" w:space="0" w:color="000000"/>
              <w:bottom w:val="single" w:sz="4" w:space="0" w:color="000000"/>
              <w:right w:val="single" w:sz="4" w:space="0" w:color="000000"/>
            </w:tcBorders>
            <w:hideMark/>
          </w:tcPr>
          <w:p w14:paraId="5E852790" w14:textId="77777777" w:rsidR="00391E8E" w:rsidRDefault="00391E8E">
            <w:pPr>
              <w:rPr>
                <w:sz w:val="20"/>
                <w:szCs w:val="20"/>
              </w:rPr>
            </w:pPr>
          </w:p>
        </w:tc>
      </w:tr>
      <w:tr w:rsidR="00391E8E" w14:paraId="13082B44"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30E31778" w14:textId="77777777" w:rsidR="00391E8E" w:rsidRDefault="00CA6B1C" w:rsidP="00273A11">
            <w:pPr>
              <w:jc w:val="center"/>
              <w:rPr>
                <w:rFonts w:ascii="Calibri" w:eastAsia="Calibri" w:hAnsi="Calibri" w:cs="Tahoma"/>
                <w:b/>
                <w:i/>
                <w:sz w:val="22"/>
                <w:szCs w:val="22"/>
              </w:rPr>
            </w:pPr>
            <w:r>
              <w:rPr>
                <w:rFonts w:ascii="Calibri" w:eastAsia="Calibri" w:hAnsi="Calibri" w:cs="Tahoma"/>
                <w:b/>
                <w:i/>
                <w:sz w:val="22"/>
                <w:szCs w:val="22"/>
                <w:highlight w:val="yellow"/>
              </w:rPr>
              <w:t>Ready-to-Learn</w:t>
            </w:r>
            <w:r w:rsidR="00391E8E" w:rsidRPr="005713A9">
              <w:rPr>
                <w:rFonts w:ascii="Calibri" w:eastAsia="Calibri" w:hAnsi="Calibri" w:cs="Tahoma"/>
                <w:b/>
                <w:i/>
                <w:sz w:val="22"/>
                <w:szCs w:val="22"/>
                <w:highlight w:val="yellow"/>
              </w:rPr>
              <w:t xml:space="preserve"> </w:t>
            </w:r>
            <w:r w:rsidR="00391E8E" w:rsidRPr="005713A9">
              <w:rPr>
                <w:rFonts w:ascii="Calibri" w:eastAsia="Calibri" w:hAnsi="Calibri" w:cs="Tahoma"/>
                <w:i/>
                <w:color w:val="0000FF"/>
                <w:sz w:val="22"/>
                <w:szCs w:val="22"/>
                <w:highlight w:val="yellow"/>
              </w:rPr>
              <w:t>[</w:t>
            </w:r>
            <w:r w:rsidR="00273A11">
              <w:rPr>
                <w:rFonts w:ascii="Calibri" w:eastAsia="Calibri" w:hAnsi="Calibri" w:cs="Tahoma"/>
                <w:i/>
                <w:color w:val="0000FF"/>
                <w:sz w:val="22"/>
                <w:szCs w:val="22"/>
                <w:highlight w:val="yellow"/>
              </w:rPr>
              <w:t>S</w:t>
            </w:r>
            <w:r w:rsidR="0006244B">
              <w:rPr>
                <w:rFonts w:ascii="Calibri" w:eastAsia="Calibri" w:hAnsi="Calibri" w:cs="Tahoma"/>
                <w:i/>
                <w:color w:val="0000FF"/>
                <w:sz w:val="22"/>
                <w:szCs w:val="22"/>
                <w:highlight w:val="yellow"/>
              </w:rPr>
              <w:t>ettle &amp; focus students learning</w:t>
            </w:r>
            <w:r w:rsidR="00391E8E" w:rsidRPr="005713A9">
              <w:rPr>
                <w:rFonts w:ascii="Calibri" w:eastAsia="Calibri" w:hAnsi="Calibri" w:cs="Tahoma"/>
                <w:i/>
                <w:color w:val="0000FF"/>
                <w:sz w:val="22"/>
                <w:szCs w:val="22"/>
                <w:highlight w:val="yellow"/>
              </w:rPr>
              <w:t>]</w:t>
            </w:r>
          </w:p>
        </w:tc>
      </w:tr>
      <w:tr w:rsidR="00391E8E" w14:paraId="571847C7"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3B708CEC" w14:textId="5FE5D7B1" w:rsidR="0006244B" w:rsidRPr="000B4264" w:rsidRDefault="00391E8E">
            <w:pPr>
              <w:rPr>
                <w:rFonts w:ascii="Calibri" w:eastAsia="Calibri" w:hAnsi="Calibri" w:cs="Tahoma"/>
                <w:sz w:val="22"/>
                <w:szCs w:val="22"/>
              </w:rPr>
            </w:pPr>
            <w:r>
              <w:rPr>
                <w:rFonts w:ascii="Calibri" w:eastAsia="Calibri" w:hAnsi="Calibri" w:cs="Tahoma"/>
                <w:b/>
                <w:sz w:val="22"/>
                <w:szCs w:val="22"/>
              </w:rPr>
              <w:t>The teacher will</w:t>
            </w:r>
            <w:r w:rsidR="000B4264">
              <w:rPr>
                <w:rFonts w:ascii="Calibri" w:eastAsia="Calibri" w:hAnsi="Calibri" w:cs="Tahoma"/>
                <w:b/>
                <w:sz w:val="22"/>
                <w:szCs w:val="22"/>
              </w:rPr>
              <w:t xml:space="preserve"> </w:t>
            </w:r>
            <w:r w:rsidR="000B4264">
              <w:rPr>
                <w:rFonts w:ascii="Calibri" w:eastAsia="Calibri" w:hAnsi="Calibri" w:cs="Tahoma"/>
                <w:sz w:val="22"/>
                <w:szCs w:val="22"/>
              </w:rPr>
              <w:t xml:space="preserve">catch the </w:t>
            </w:r>
            <w:r w:rsidR="00226F31">
              <w:rPr>
                <w:rFonts w:ascii="Calibri" w:eastAsia="Calibri" w:hAnsi="Calibri" w:cs="Tahoma"/>
                <w:sz w:val="22"/>
                <w:szCs w:val="22"/>
              </w:rPr>
              <w:t>students’</w:t>
            </w:r>
            <w:r w:rsidR="000B4264">
              <w:rPr>
                <w:rFonts w:ascii="Calibri" w:eastAsia="Calibri" w:hAnsi="Calibri" w:cs="Tahoma"/>
                <w:sz w:val="22"/>
                <w:szCs w:val="22"/>
              </w:rPr>
              <w:t xml:space="preserve"> attention before the lesson by showing the students a fun tongue twister to set the mood for the lesson</w:t>
            </w:r>
            <w:r w:rsidR="00226F31">
              <w:rPr>
                <w:rFonts w:ascii="Calibri" w:eastAsia="Calibri" w:hAnsi="Calibri" w:cs="Tahoma"/>
                <w:sz w:val="22"/>
                <w:szCs w:val="22"/>
              </w:rPr>
              <w:t>. They w</w:t>
            </w:r>
            <w:r w:rsidR="009E154F">
              <w:rPr>
                <w:rFonts w:ascii="Calibri" w:eastAsia="Calibri" w:hAnsi="Calibri" w:cs="Tahoma"/>
                <w:sz w:val="22"/>
                <w:szCs w:val="22"/>
              </w:rPr>
              <w:t>ill</w:t>
            </w:r>
            <w:r w:rsidR="00226F31">
              <w:rPr>
                <w:rFonts w:ascii="Calibri" w:eastAsia="Calibri" w:hAnsi="Calibri" w:cs="Tahoma"/>
                <w:sz w:val="22"/>
                <w:szCs w:val="22"/>
              </w:rPr>
              <w:t xml:space="preserve"> ask them say “they, them, their” three times fast.</w:t>
            </w:r>
          </w:p>
        </w:tc>
        <w:tc>
          <w:tcPr>
            <w:tcW w:w="4322" w:type="dxa"/>
            <w:tcBorders>
              <w:top w:val="single" w:sz="4" w:space="0" w:color="000000"/>
              <w:left w:val="single" w:sz="4" w:space="0" w:color="000000"/>
              <w:bottom w:val="single" w:sz="4" w:space="0" w:color="000000"/>
              <w:right w:val="single" w:sz="4" w:space="0" w:color="000000"/>
            </w:tcBorders>
            <w:hideMark/>
          </w:tcPr>
          <w:p w14:paraId="67DAFC91" w14:textId="2394C437" w:rsidR="00391E8E" w:rsidRPr="00226F31" w:rsidRDefault="00391E8E">
            <w:pPr>
              <w:rPr>
                <w:rFonts w:ascii="Calibri" w:eastAsia="Calibri" w:hAnsi="Calibri" w:cs="Tahoma"/>
                <w:sz w:val="22"/>
                <w:szCs w:val="22"/>
              </w:rPr>
            </w:pPr>
            <w:r>
              <w:rPr>
                <w:rFonts w:ascii="Calibri" w:eastAsia="Calibri" w:hAnsi="Calibri" w:cs="Tahoma"/>
                <w:b/>
                <w:sz w:val="22"/>
                <w:szCs w:val="22"/>
              </w:rPr>
              <w:t>Students will</w:t>
            </w:r>
            <w:r w:rsidR="00226F31">
              <w:rPr>
                <w:rFonts w:ascii="Calibri" w:eastAsia="Calibri" w:hAnsi="Calibri" w:cs="Tahoma"/>
                <w:b/>
                <w:sz w:val="22"/>
                <w:szCs w:val="22"/>
              </w:rPr>
              <w:t xml:space="preserve"> </w:t>
            </w:r>
            <w:r w:rsidR="00226F31">
              <w:rPr>
                <w:rFonts w:ascii="Calibri" w:eastAsia="Calibri" w:hAnsi="Calibri" w:cs="Tahoma"/>
                <w:sz w:val="22"/>
                <w:szCs w:val="22"/>
              </w:rPr>
              <w:t>observe the teacher and participate in the tongue twister to get their wiggles out.</w:t>
            </w:r>
          </w:p>
        </w:tc>
      </w:tr>
      <w:tr w:rsidR="00391E8E" w14:paraId="1664473A"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598675DB" w14:textId="77777777" w:rsidR="00391E8E" w:rsidRDefault="00391E8E">
            <w:pPr>
              <w:jc w:val="center"/>
              <w:rPr>
                <w:rFonts w:ascii="Calibri" w:eastAsia="Calibri" w:hAnsi="Calibri" w:cs="Tahoma"/>
                <w:b/>
                <w:sz w:val="22"/>
                <w:szCs w:val="22"/>
              </w:rPr>
            </w:pPr>
            <w:r w:rsidRPr="005713A9">
              <w:rPr>
                <w:rFonts w:ascii="Calibri" w:eastAsia="Calibri" w:hAnsi="Calibri" w:cs="Tahoma"/>
                <w:b/>
                <w:i/>
                <w:sz w:val="22"/>
                <w:szCs w:val="22"/>
                <w:highlight w:val="yellow"/>
              </w:rPr>
              <w:t xml:space="preserve">Anticipatory Set </w:t>
            </w:r>
            <w:r w:rsidRPr="005713A9">
              <w:rPr>
                <w:rFonts w:ascii="Calibri" w:eastAsia="Calibri" w:hAnsi="Calibri" w:cs="Tahoma"/>
                <w:i/>
                <w:color w:val="0000FF"/>
                <w:sz w:val="22"/>
                <w:szCs w:val="22"/>
                <w:highlight w:val="yellow"/>
              </w:rPr>
              <w:t>[Introduce the day’s work and connect it to previous learning.</w:t>
            </w:r>
            <w:r w:rsidR="00CA6B1C">
              <w:rPr>
                <w:rFonts w:ascii="Calibri" w:eastAsia="Calibri" w:hAnsi="Calibri" w:cs="Tahoma"/>
                <w:i/>
                <w:color w:val="0000FF"/>
                <w:sz w:val="22"/>
                <w:szCs w:val="22"/>
                <w:highlight w:val="yellow"/>
              </w:rPr>
              <w:t xml:space="preserve"> Think about purpose!</w:t>
            </w:r>
            <w:r w:rsidRPr="005713A9">
              <w:rPr>
                <w:rFonts w:ascii="Calibri" w:eastAsia="Calibri" w:hAnsi="Calibri" w:cs="Tahoma"/>
                <w:i/>
                <w:color w:val="0000FF"/>
                <w:sz w:val="22"/>
                <w:szCs w:val="22"/>
                <w:highlight w:val="yellow"/>
              </w:rPr>
              <w:t>]</w:t>
            </w:r>
          </w:p>
        </w:tc>
      </w:tr>
      <w:tr w:rsidR="00391E8E" w14:paraId="059BF230"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200D286E" w14:textId="0FD83126" w:rsidR="00391E8E" w:rsidRDefault="00391E8E">
            <w:pPr>
              <w:rPr>
                <w:rFonts w:ascii="Calibri" w:eastAsia="Calibri" w:hAnsi="Calibri" w:cs="Tahoma"/>
                <w:b/>
                <w:sz w:val="22"/>
                <w:szCs w:val="22"/>
              </w:rPr>
            </w:pPr>
            <w:r>
              <w:rPr>
                <w:rFonts w:ascii="Calibri" w:eastAsia="Calibri" w:hAnsi="Calibri" w:cs="Tahoma"/>
                <w:b/>
                <w:sz w:val="22"/>
                <w:szCs w:val="22"/>
              </w:rPr>
              <w:t>The teacher will</w:t>
            </w:r>
            <w:r w:rsidR="000B4264">
              <w:rPr>
                <w:rFonts w:ascii="Calibri" w:eastAsia="Calibri" w:hAnsi="Calibri" w:cs="Tahoma"/>
                <w:b/>
                <w:sz w:val="22"/>
                <w:szCs w:val="22"/>
              </w:rPr>
              <w:t xml:space="preserve"> </w:t>
            </w:r>
            <w:r w:rsidR="000B4264">
              <w:rPr>
                <w:rFonts w:ascii="Calibri" w:eastAsia="Calibri" w:hAnsi="Calibri" w:cs="Tahoma"/>
                <w:sz w:val="22"/>
                <w:szCs w:val="22"/>
              </w:rPr>
              <w:t>go over: they, them, and their and remind students the differences of the pronouns and when they are used in the sentences. The teacher</w:t>
            </w:r>
            <w:r w:rsidR="00226F31">
              <w:rPr>
                <w:rFonts w:ascii="Calibri" w:eastAsia="Calibri" w:hAnsi="Calibri" w:cs="Tahoma"/>
                <w:sz w:val="22"/>
                <w:szCs w:val="22"/>
              </w:rPr>
              <w:t xml:space="preserve"> will then show the students example sentences using the words </w:t>
            </w:r>
            <w:r w:rsidR="007116C3">
              <w:rPr>
                <w:rFonts w:ascii="Calibri" w:eastAsia="Calibri" w:hAnsi="Calibri" w:cs="Tahoma"/>
                <w:sz w:val="22"/>
                <w:szCs w:val="22"/>
              </w:rPr>
              <w:t>“</w:t>
            </w:r>
            <w:r w:rsidR="00226F31">
              <w:rPr>
                <w:rFonts w:ascii="Calibri" w:eastAsia="Calibri" w:hAnsi="Calibri" w:cs="Tahoma"/>
                <w:sz w:val="22"/>
                <w:szCs w:val="22"/>
              </w:rPr>
              <w:t>they, them, and their</w:t>
            </w:r>
            <w:r w:rsidR="007116C3">
              <w:rPr>
                <w:rFonts w:ascii="Calibri" w:eastAsia="Calibri" w:hAnsi="Calibri" w:cs="Tahoma"/>
                <w:sz w:val="22"/>
                <w:szCs w:val="22"/>
              </w:rPr>
              <w:t>”</w:t>
            </w:r>
            <w:r w:rsidR="00226F31">
              <w:rPr>
                <w:rFonts w:ascii="Calibri" w:eastAsia="Calibri" w:hAnsi="Calibri" w:cs="Tahoma"/>
                <w:sz w:val="22"/>
                <w:szCs w:val="22"/>
              </w:rPr>
              <w:t xml:space="preserve"> to refresh their memories. Then the teacher will make two example sentences (without the word: they, them, their) for students to raise their hand to verbally fill in the blank to answer what the word would be to the class.</w:t>
            </w:r>
            <w:r w:rsidR="009E154F">
              <w:rPr>
                <w:rFonts w:ascii="Calibri" w:eastAsia="Calibri" w:hAnsi="Calibri" w:cs="Tahoma"/>
                <w:sz w:val="22"/>
                <w:szCs w:val="22"/>
              </w:rPr>
              <w:t xml:space="preserve"> The teacher will then get a sense of who still remembers the material and who needs extra help.</w:t>
            </w:r>
          </w:p>
        </w:tc>
        <w:tc>
          <w:tcPr>
            <w:tcW w:w="4322" w:type="dxa"/>
            <w:tcBorders>
              <w:top w:val="single" w:sz="4" w:space="0" w:color="000000"/>
              <w:left w:val="single" w:sz="4" w:space="0" w:color="000000"/>
              <w:bottom w:val="single" w:sz="4" w:space="0" w:color="000000"/>
              <w:right w:val="single" w:sz="4" w:space="0" w:color="000000"/>
            </w:tcBorders>
            <w:hideMark/>
          </w:tcPr>
          <w:p w14:paraId="33D4CBD1" w14:textId="638C0E74" w:rsidR="00391E8E" w:rsidRPr="00226F31" w:rsidRDefault="00391E8E">
            <w:pPr>
              <w:rPr>
                <w:rFonts w:ascii="Calibri" w:eastAsia="Calibri" w:hAnsi="Calibri" w:cs="Tahoma"/>
                <w:sz w:val="22"/>
                <w:szCs w:val="22"/>
              </w:rPr>
            </w:pPr>
            <w:r>
              <w:rPr>
                <w:rFonts w:ascii="Calibri" w:eastAsia="Calibri" w:hAnsi="Calibri" w:cs="Tahoma"/>
                <w:b/>
                <w:sz w:val="22"/>
                <w:szCs w:val="22"/>
              </w:rPr>
              <w:t>Students will</w:t>
            </w:r>
            <w:r w:rsidR="00226F31">
              <w:rPr>
                <w:rFonts w:ascii="Calibri" w:eastAsia="Calibri" w:hAnsi="Calibri" w:cs="Tahoma"/>
                <w:b/>
                <w:sz w:val="22"/>
                <w:szCs w:val="22"/>
              </w:rPr>
              <w:t xml:space="preserve"> </w:t>
            </w:r>
            <w:r w:rsidR="00226F31">
              <w:rPr>
                <w:rFonts w:ascii="Calibri" w:eastAsia="Calibri" w:hAnsi="Calibri" w:cs="Tahoma"/>
                <w:sz w:val="22"/>
                <w:szCs w:val="22"/>
              </w:rPr>
              <w:t>pay attention to the teacher recollecting their thoughts from the previous days</w:t>
            </w:r>
            <w:r w:rsidR="009E154F">
              <w:rPr>
                <w:rFonts w:ascii="Calibri" w:eastAsia="Calibri" w:hAnsi="Calibri" w:cs="Tahoma"/>
                <w:sz w:val="22"/>
                <w:szCs w:val="22"/>
              </w:rPr>
              <w:t>. Then they will volunteer to answer the fill in the blank questions.</w:t>
            </w:r>
          </w:p>
        </w:tc>
      </w:tr>
      <w:tr w:rsidR="00391E8E" w14:paraId="7B0987F0"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4AA6C612" w14:textId="77777777" w:rsidR="00391E8E" w:rsidRDefault="00391E8E">
            <w:pPr>
              <w:jc w:val="center"/>
              <w:rPr>
                <w:rFonts w:ascii="Calibri" w:eastAsia="Calibri" w:hAnsi="Calibri" w:cs="Tahoma"/>
                <w:i/>
                <w:sz w:val="22"/>
                <w:szCs w:val="22"/>
              </w:rPr>
            </w:pPr>
            <w:r w:rsidRPr="005713A9">
              <w:rPr>
                <w:rFonts w:ascii="Calibri" w:eastAsia="Calibri" w:hAnsi="Calibri" w:cs="Tahoma"/>
                <w:b/>
                <w:i/>
                <w:sz w:val="22"/>
                <w:szCs w:val="22"/>
                <w:highlight w:val="yellow"/>
              </w:rPr>
              <w:t>Main Lesson Activities</w:t>
            </w:r>
            <w:r w:rsidRPr="005713A9">
              <w:rPr>
                <w:rFonts w:ascii="Calibri" w:eastAsia="Calibri" w:hAnsi="Calibri" w:cs="Tahoma"/>
                <w:i/>
                <w:sz w:val="22"/>
                <w:szCs w:val="22"/>
                <w:highlight w:val="yellow"/>
              </w:rPr>
              <w:t xml:space="preserve"> </w:t>
            </w:r>
            <w:r w:rsidRPr="005713A9">
              <w:rPr>
                <w:rFonts w:ascii="Calibri" w:eastAsia="Calibri" w:hAnsi="Calibri" w:cs="Tahoma"/>
                <w:i/>
                <w:color w:val="0000FF"/>
                <w:sz w:val="22"/>
                <w:szCs w:val="22"/>
                <w:highlight w:val="yellow"/>
              </w:rPr>
              <w:t>[Be specific; break tasks down into manageable steps.]</w:t>
            </w:r>
          </w:p>
        </w:tc>
      </w:tr>
      <w:tr w:rsidR="00391E8E" w14:paraId="63E2FC10"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37B0F581" w14:textId="6B494210" w:rsidR="00391E8E" w:rsidRDefault="00391E8E" w:rsidP="009E154F">
            <w:pPr>
              <w:tabs>
                <w:tab w:val="center" w:pos="2046"/>
                <w:tab w:val="left" w:pos="2492"/>
              </w:tabs>
              <w:rPr>
                <w:rFonts w:ascii="Calibri" w:eastAsia="Calibri" w:hAnsi="Calibri" w:cs="Tahoma"/>
                <w:b/>
                <w:sz w:val="22"/>
                <w:szCs w:val="22"/>
              </w:rPr>
            </w:pPr>
            <w:r>
              <w:rPr>
                <w:rFonts w:ascii="Calibri" w:eastAsia="Calibri" w:hAnsi="Calibri" w:cs="Tahoma"/>
                <w:b/>
                <w:sz w:val="22"/>
                <w:szCs w:val="22"/>
              </w:rPr>
              <w:t>The teacher will</w:t>
            </w:r>
            <w:r w:rsidR="009E154F">
              <w:rPr>
                <w:rFonts w:ascii="Calibri" w:eastAsia="Calibri" w:hAnsi="Calibri" w:cs="Tahoma"/>
                <w:b/>
                <w:sz w:val="22"/>
                <w:szCs w:val="22"/>
              </w:rPr>
              <w:t xml:space="preserve"> </w:t>
            </w:r>
            <w:r w:rsidR="009E154F">
              <w:rPr>
                <w:rFonts w:ascii="Calibri" w:eastAsia="Calibri" w:hAnsi="Calibri" w:cs="Tahoma"/>
                <w:sz w:val="22"/>
                <w:szCs w:val="22"/>
              </w:rPr>
              <w:t>explain to the students that we will be doing an activity so that they can be more comfortable with the material. The main lesson activity that would explain is called the Stand, Sit, Raise. This activity would get the students fully involved and participating. The way it would work is that the teacher would</w:t>
            </w:r>
            <w:r w:rsidR="00260234">
              <w:rPr>
                <w:rFonts w:ascii="Calibri" w:eastAsia="Calibri" w:hAnsi="Calibri" w:cs="Tahoma"/>
                <w:sz w:val="22"/>
                <w:szCs w:val="22"/>
              </w:rPr>
              <w:t xml:space="preserve"> tell them that each word (they, them, their) connects to a specific action that they </w:t>
            </w:r>
            <w:proofErr w:type="gramStart"/>
            <w:r w:rsidR="00260234">
              <w:rPr>
                <w:rFonts w:ascii="Calibri" w:eastAsia="Calibri" w:hAnsi="Calibri" w:cs="Tahoma"/>
                <w:sz w:val="22"/>
                <w:szCs w:val="22"/>
              </w:rPr>
              <w:t>have to</w:t>
            </w:r>
            <w:proofErr w:type="gramEnd"/>
            <w:r w:rsidR="00260234">
              <w:rPr>
                <w:rFonts w:ascii="Calibri" w:eastAsia="Calibri" w:hAnsi="Calibri" w:cs="Tahoma"/>
                <w:sz w:val="22"/>
                <w:szCs w:val="22"/>
              </w:rPr>
              <w:t xml:space="preserve"> do. If they think the word “they” goes in the blank, they would stay seated. If they think the word “them” goes in the blank, they would raise their hand. If they think “their” goes in the blank, they would stand up. With this, the teachers can see who understands the information </w:t>
            </w:r>
            <w:r w:rsidR="00260234">
              <w:rPr>
                <w:rFonts w:ascii="Calibri" w:eastAsia="Calibri" w:hAnsi="Calibri" w:cs="Tahoma"/>
                <w:sz w:val="22"/>
                <w:szCs w:val="22"/>
              </w:rPr>
              <w:lastRenderedPageBreak/>
              <w:t>and who still needs more assistance.</w:t>
            </w:r>
            <w:r w:rsidR="009E154F">
              <w:rPr>
                <w:rFonts w:ascii="Calibri" w:eastAsia="Calibri" w:hAnsi="Calibri" w:cs="Tahoma"/>
                <w:sz w:val="22"/>
                <w:szCs w:val="22"/>
              </w:rPr>
              <w:t xml:space="preserve"> </w:t>
            </w:r>
            <w:r w:rsidR="009E154F">
              <w:rPr>
                <w:rFonts w:ascii="Calibri" w:eastAsia="Calibri" w:hAnsi="Calibri" w:cs="Tahoma"/>
                <w:b/>
                <w:sz w:val="22"/>
                <w:szCs w:val="22"/>
              </w:rPr>
              <w:tab/>
            </w:r>
            <w:r w:rsidR="009E154F">
              <w:rPr>
                <w:rFonts w:ascii="Calibri" w:eastAsia="Calibri" w:hAnsi="Calibri" w:cs="Tahoma"/>
                <w:b/>
                <w:sz w:val="22"/>
                <w:szCs w:val="22"/>
              </w:rPr>
              <w:tab/>
              <w:t xml:space="preserve"> </w:t>
            </w:r>
          </w:p>
        </w:tc>
        <w:tc>
          <w:tcPr>
            <w:tcW w:w="4322" w:type="dxa"/>
            <w:tcBorders>
              <w:top w:val="single" w:sz="4" w:space="0" w:color="000000"/>
              <w:left w:val="single" w:sz="4" w:space="0" w:color="000000"/>
              <w:bottom w:val="single" w:sz="4" w:space="0" w:color="000000"/>
              <w:right w:val="single" w:sz="4" w:space="0" w:color="000000"/>
            </w:tcBorders>
            <w:hideMark/>
          </w:tcPr>
          <w:p w14:paraId="1AC71E52" w14:textId="44053A24" w:rsidR="00391E8E" w:rsidRPr="00260234" w:rsidRDefault="00391E8E">
            <w:pPr>
              <w:rPr>
                <w:rFonts w:ascii="Calibri" w:eastAsia="Calibri" w:hAnsi="Calibri" w:cs="Tahoma"/>
                <w:sz w:val="22"/>
                <w:szCs w:val="22"/>
              </w:rPr>
            </w:pPr>
            <w:r>
              <w:rPr>
                <w:rFonts w:ascii="Calibri" w:eastAsia="Calibri" w:hAnsi="Calibri" w:cs="Tahoma"/>
                <w:b/>
                <w:sz w:val="22"/>
                <w:szCs w:val="22"/>
              </w:rPr>
              <w:lastRenderedPageBreak/>
              <w:t>Students will</w:t>
            </w:r>
            <w:r w:rsidR="001401CC">
              <w:rPr>
                <w:rFonts w:ascii="Calibri" w:eastAsia="Calibri" w:hAnsi="Calibri" w:cs="Tahoma"/>
                <w:b/>
                <w:sz w:val="22"/>
                <w:szCs w:val="22"/>
              </w:rPr>
              <w:t xml:space="preserve"> </w:t>
            </w:r>
            <w:r w:rsidR="00260234">
              <w:rPr>
                <w:rFonts w:ascii="Calibri" w:eastAsia="Calibri" w:hAnsi="Calibri" w:cs="Tahoma"/>
                <w:sz w:val="22"/>
                <w:szCs w:val="22"/>
              </w:rPr>
              <w:t xml:space="preserve">listen to the teacher’s directions and demonstrate their understanding of the words by participating in the game, Stand, Sit, Raise. </w:t>
            </w:r>
            <w:r w:rsidR="00260234" w:rsidRPr="00260234">
              <w:rPr>
                <w:rFonts w:ascii="Calibri" w:eastAsia="Calibri" w:hAnsi="Calibri" w:cs="Tahoma"/>
                <w:sz w:val="22"/>
                <w:szCs w:val="22"/>
              </w:rPr>
              <w:t xml:space="preserve">If they think the word </w:t>
            </w:r>
            <w:r w:rsidR="00260234">
              <w:rPr>
                <w:rFonts w:ascii="Calibri" w:eastAsia="Calibri" w:hAnsi="Calibri" w:cs="Tahoma"/>
                <w:sz w:val="22"/>
                <w:szCs w:val="22"/>
              </w:rPr>
              <w:t>“</w:t>
            </w:r>
            <w:r w:rsidR="00260234" w:rsidRPr="00260234">
              <w:rPr>
                <w:rFonts w:ascii="Calibri" w:eastAsia="Calibri" w:hAnsi="Calibri" w:cs="Tahoma"/>
                <w:sz w:val="22"/>
                <w:szCs w:val="22"/>
              </w:rPr>
              <w:t>they</w:t>
            </w:r>
            <w:r w:rsidR="00260234">
              <w:rPr>
                <w:rFonts w:ascii="Calibri" w:eastAsia="Calibri" w:hAnsi="Calibri" w:cs="Tahoma"/>
                <w:sz w:val="22"/>
                <w:szCs w:val="22"/>
              </w:rPr>
              <w:t>”</w:t>
            </w:r>
            <w:r w:rsidR="00260234" w:rsidRPr="00260234">
              <w:rPr>
                <w:rFonts w:ascii="Calibri" w:eastAsia="Calibri" w:hAnsi="Calibri" w:cs="Tahoma"/>
                <w:sz w:val="22"/>
                <w:szCs w:val="22"/>
              </w:rPr>
              <w:t xml:space="preserve"> go</w:t>
            </w:r>
            <w:r w:rsidR="00260234">
              <w:rPr>
                <w:rFonts w:ascii="Calibri" w:eastAsia="Calibri" w:hAnsi="Calibri" w:cs="Tahoma"/>
                <w:sz w:val="22"/>
                <w:szCs w:val="22"/>
              </w:rPr>
              <w:t xml:space="preserve">es </w:t>
            </w:r>
            <w:r w:rsidR="00260234" w:rsidRPr="00260234">
              <w:rPr>
                <w:rFonts w:ascii="Calibri" w:eastAsia="Calibri" w:hAnsi="Calibri" w:cs="Tahoma"/>
                <w:sz w:val="22"/>
                <w:szCs w:val="22"/>
              </w:rPr>
              <w:t xml:space="preserve">in the blank, they would stay seated. If they think the word </w:t>
            </w:r>
            <w:r w:rsidR="00260234">
              <w:rPr>
                <w:rFonts w:ascii="Calibri" w:eastAsia="Calibri" w:hAnsi="Calibri" w:cs="Tahoma"/>
                <w:sz w:val="22"/>
                <w:szCs w:val="22"/>
              </w:rPr>
              <w:t>“</w:t>
            </w:r>
            <w:r w:rsidR="00260234" w:rsidRPr="00260234">
              <w:rPr>
                <w:rFonts w:ascii="Calibri" w:eastAsia="Calibri" w:hAnsi="Calibri" w:cs="Tahoma"/>
                <w:sz w:val="22"/>
                <w:szCs w:val="22"/>
              </w:rPr>
              <w:t>them</w:t>
            </w:r>
            <w:r w:rsidR="00260234">
              <w:rPr>
                <w:rFonts w:ascii="Calibri" w:eastAsia="Calibri" w:hAnsi="Calibri" w:cs="Tahoma"/>
                <w:sz w:val="22"/>
                <w:szCs w:val="22"/>
              </w:rPr>
              <w:t>”</w:t>
            </w:r>
            <w:r w:rsidR="00260234" w:rsidRPr="00260234">
              <w:rPr>
                <w:rFonts w:ascii="Calibri" w:eastAsia="Calibri" w:hAnsi="Calibri" w:cs="Tahoma"/>
                <w:sz w:val="22"/>
                <w:szCs w:val="22"/>
              </w:rPr>
              <w:t xml:space="preserve"> goes in the blank, they would raise their hand. If they think </w:t>
            </w:r>
            <w:r w:rsidR="00260234">
              <w:rPr>
                <w:rFonts w:ascii="Calibri" w:eastAsia="Calibri" w:hAnsi="Calibri" w:cs="Tahoma"/>
                <w:sz w:val="22"/>
                <w:szCs w:val="22"/>
              </w:rPr>
              <w:t>“</w:t>
            </w:r>
            <w:r w:rsidR="00260234" w:rsidRPr="00260234">
              <w:rPr>
                <w:rFonts w:ascii="Calibri" w:eastAsia="Calibri" w:hAnsi="Calibri" w:cs="Tahoma"/>
                <w:sz w:val="22"/>
                <w:szCs w:val="22"/>
              </w:rPr>
              <w:t>their</w:t>
            </w:r>
            <w:r w:rsidR="00260234">
              <w:rPr>
                <w:rFonts w:ascii="Calibri" w:eastAsia="Calibri" w:hAnsi="Calibri" w:cs="Tahoma"/>
                <w:sz w:val="22"/>
                <w:szCs w:val="22"/>
              </w:rPr>
              <w:t>”</w:t>
            </w:r>
            <w:r w:rsidR="00260234" w:rsidRPr="00260234">
              <w:rPr>
                <w:rFonts w:ascii="Calibri" w:eastAsia="Calibri" w:hAnsi="Calibri" w:cs="Tahoma"/>
                <w:sz w:val="22"/>
                <w:szCs w:val="22"/>
              </w:rPr>
              <w:t xml:space="preserve"> goes in the blank, they would stand up.</w:t>
            </w:r>
            <w:r w:rsidR="00260234">
              <w:rPr>
                <w:rFonts w:ascii="Calibri" w:eastAsia="Calibri" w:hAnsi="Calibri" w:cs="Tahoma"/>
                <w:sz w:val="22"/>
                <w:szCs w:val="22"/>
              </w:rPr>
              <w:t xml:space="preserve">  </w:t>
            </w:r>
          </w:p>
        </w:tc>
      </w:tr>
      <w:tr w:rsidR="00391E8E" w14:paraId="3D891B13"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15ECEE92" w14:textId="77777777" w:rsidR="00391E8E" w:rsidRDefault="00391E8E">
            <w:pPr>
              <w:jc w:val="center"/>
              <w:rPr>
                <w:rFonts w:ascii="Calibri" w:eastAsia="Calibri" w:hAnsi="Calibri" w:cs="Tahoma"/>
                <w:b/>
                <w:sz w:val="22"/>
                <w:szCs w:val="22"/>
              </w:rPr>
            </w:pPr>
            <w:r w:rsidRPr="005713A9">
              <w:rPr>
                <w:rFonts w:ascii="Calibri" w:eastAsia="Calibri" w:hAnsi="Calibri" w:cs="Tahoma"/>
                <w:b/>
                <w:i/>
                <w:sz w:val="22"/>
                <w:szCs w:val="22"/>
                <w:highlight w:val="yellow"/>
              </w:rPr>
              <w:t xml:space="preserve">Closure </w:t>
            </w:r>
            <w:r w:rsidRPr="005713A9">
              <w:rPr>
                <w:rFonts w:ascii="Calibri" w:eastAsia="Calibri" w:hAnsi="Calibri" w:cs="Tahoma"/>
                <w:i/>
                <w:color w:val="0000FF"/>
                <w:sz w:val="22"/>
                <w:szCs w:val="22"/>
                <w:highlight w:val="yellow"/>
              </w:rPr>
              <w:t>[Wrap up and reflect on the day’s learning; connect to homework or next lesson.]</w:t>
            </w:r>
          </w:p>
        </w:tc>
      </w:tr>
      <w:tr w:rsidR="00391E8E" w14:paraId="4DBECCFD" w14:textId="77777777" w:rsidTr="00391E8E">
        <w:tc>
          <w:tcPr>
            <w:tcW w:w="4308" w:type="dxa"/>
            <w:tcBorders>
              <w:top w:val="single" w:sz="4" w:space="0" w:color="000000"/>
              <w:left w:val="single" w:sz="4" w:space="0" w:color="000000"/>
              <w:bottom w:val="single" w:sz="4" w:space="0" w:color="000000"/>
              <w:right w:val="single" w:sz="4" w:space="0" w:color="000000"/>
            </w:tcBorders>
            <w:hideMark/>
          </w:tcPr>
          <w:p w14:paraId="4FE07F0B" w14:textId="6819F56F" w:rsidR="00391E8E" w:rsidRPr="00260234" w:rsidRDefault="00391E8E">
            <w:pPr>
              <w:rPr>
                <w:rFonts w:ascii="Calibri" w:eastAsia="Calibri" w:hAnsi="Calibri" w:cs="Tahoma"/>
                <w:sz w:val="22"/>
                <w:szCs w:val="22"/>
              </w:rPr>
            </w:pPr>
            <w:r>
              <w:rPr>
                <w:rFonts w:ascii="Calibri" w:eastAsia="Calibri" w:hAnsi="Calibri" w:cs="Tahoma"/>
                <w:b/>
                <w:sz w:val="22"/>
                <w:szCs w:val="22"/>
              </w:rPr>
              <w:t>The teacher will</w:t>
            </w:r>
            <w:r w:rsidR="00260234">
              <w:rPr>
                <w:rFonts w:ascii="Calibri" w:eastAsia="Calibri" w:hAnsi="Calibri" w:cs="Tahoma"/>
                <w:sz w:val="22"/>
                <w:szCs w:val="22"/>
              </w:rPr>
              <w:t xml:space="preserve"> ask the students how they liked the activity to get their feedback. Then they would </w:t>
            </w:r>
            <w:r w:rsidR="002737E8">
              <w:rPr>
                <w:rFonts w:ascii="Calibri" w:eastAsia="Calibri" w:hAnsi="Calibri" w:cs="Tahoma"/>
                <w:sz w:val="22"/>
                <w:szCs w:val="22"/>
              </w:rPr>
              <w:t>reiterate the information and main points they learned about the words “they, them, their” The teachers will then talk about the homework they have for the students, which is to play the notecard guess game and see if they can fill in the blank of the sentences by themselves.</w:t>
            </w:r>
          </w:p>
        </w:tc>
        <w:tc>
          <w:tcPr>
            <w:tcW w:w="4322" w:type="dxa"/>
            <w:tcBorders>
              <w:top w:val="single" w:sz="4" w:space="0" w:color="000000"/>
              <w:left w:val="single" w:sz="4" w:space="0" w:color="000000"/>
              <w:bottom w:val="single" w:sz="4" w:space="0" w:color="000000"/>
              <w:right w:val="single" w:sz="4" w:space="0" w:color="000000"/>
            </w:tcBorders>
            <w:hideMark/>
          </w:tcPr>
          <w:p w14:paraId="7276AC59" w14:textId="722E8F5B" w:rsidR="00391E8E" w:rsidRPr="002737E8" w:rsidRDefault="00391E8E">
            <w:pPr>
              <w:rPr>
                <w:rFonts w:ascii="Calibri" w:eastAsia="Calibri" w:hAnsi="Calibri" w:cs="Tahoma"/>
                <w:sz w:val="22"/>
                <w:szCs w:val="22"/>
              </w:rPr>
            </w:pPr>
            <w:r>
              <w:rPr>
                <w:rFonts w:ascii="Calibri" w:eastAsia="Calibri" w:hAnsi="Calibri" w:cs="Tahoma"/>
                <w:b/>
                <w:sz w:val="22"/>
                <w:szCs w:val="22"/>
              </w:rPr>
              <w:t>Students will</w:t>
            </w:r>
            <w:r w:rsidR="001401CC">
              <w:rPr>
                <w:rFonts w:ascii="Calibri" w:eastAsia="Calibri" w:hAnsi="Calibri" w:cs="Tahoma"/>
                <w:b/>
                <w:sz w:val="22"/>
                <w:szCs w:val="22"/>
              </w:rPr>
              <w:t xml:space="preserve"> </w:t>
            </w:r>
            <w:r w:rsidR="002737E8">
              <w:rPr>
                <w:rFonts w:ascii="Calibri" w:eastAsia="Calibri" w:hAnsi="Calibri" w:cs="Tahoma"/>
                <w:sz w:val="22"/>
                <w:szCs w:val="22"/>
              </w:rPr>
              <w:t>listen to the teacher and reflect on the day’s work. They would then ask any questions to make sure that they are clear on the homework activity.</w:t>
            </w:r>
          </w:p>
        </w:tc>
      </w:tr>
      <w:tr w:rsidR="00391E8E" w14:paraId="22F64367" w14:textId="77777777" w:rsidTr="00391E8E">
        <w:tc>
          <w:tcPr>
            <w:tcW w:w="8630" w:type="dxa"/>
            <w:gridSpan w:val="2"/>
            <w:tcBorders>
              <w:top w:val="single" w:sz="4" w:space="0" w:color="000000"/>
              <w:left w:val="single" w:sz="4" w:space="0" w:color="000000"/>
              <w:bottom w:val="single" w:sz="4" w:space="0" w:color="000000"/>
              <w:right w:val="single" w:sz="4" w:space="0" w:color="000000"/>
            </w:tcBorders>
          </w:tcPr>
          <w:p w14:paraId="2BCAED17" w14:textId="77777777" w:rsidR="00391E8E" w:rsidRDefault="00391E8E">
            <w:pPr>
              <w:rPr>
                <w:rFonts w:ascii="Calibri" w:eastAsia="Calibri" w:hAnsi="Calibri" w:cs="Tahoma"/>
                <w:b/>
                <w:color w:val="000000"/>
                <w:sz w:val="22"/>
                <w:szCs w:val="22"/>
              </w:rPr>
            </w:pPr>
          </w:p>
        </w:tc>
      </w:tr>
      <w:tr w:rsidR="00391E8E" w14:paraId="66415E71"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5C849B29" w14:textId="13B7EB12" w:rsidR="00391E8E" w:rsidRPr="00A54585" w:rsidRDefault="00391E8E">
            <w:pPr>
              <w:rPr>
                <w:rFonts w:ascii="Calibri" w:eastAsia="Calibri" w:hAnsi="Calibri" w:cs="Tahoma"/>
                <w:sz w:val="22"/>
                <w:szCs w:val="22"/>
              </w:rPr>
            </w:pPr>
            <w:r>
              <w:rPr>
                <w:rFonts w:ascii="Calibri" w:eastAsia="Calibri" w:hAnsi="Calibri" w:cs="Tahoma"/>
                <w:b/>
                <w:color w:val="000000"/>
                <w:sz w:val="22"/>
                <w:szCs w:val="22"/>
              </w:rPr>
              <w:t>Assignments:</w:t>
            </w:r>
            <w:r>
              <w:rPr>
                <w:rFonts w:ascii="Calibri" w:eastAsia="Calibri" w:hAnsi="Calibri" w:cs="Tahoma"/>
                <w:color w:val="000000"/>
                <w:sz w:val="22"/>
                <w:szCs w:val="22"/>
              </w:rPr>
              <w:t xml:space="preserve"> </w:t>
            </w:r>
            <w:r>
              <w:rPr>
                <w:rFonts w:ascii="Calibri" w:eastAsia="Calibri" w:hAnsi="Calibri" w:cs="Tahoma"/>
                <w:color w:val="0000FF"/>
                <w:sz w:val="22"/>
                <w:szCs w:val="22"/>
              </w:rPr>
              <w:t>[List homework for the next day’s lesson or long-term projects due soon.]</w:t>
            </w:r>
            <w:r w:rsidR="00A54585">
              <w:rPr>
                <w:rFonts w:ascii="Calibri" w:eastAsia="Calibri" w:hAnsi="Calibri" w:cs="Tahoma"/>
                <w:color w:val="0000FF"/>
                <w:sz w:val="22"/>
                <w:szCs w:val="22"/>
              </w:rPr>
              <w:t xml:space="preserve"> </w:t>
            </w:r>
            <w:r w:rsidR="00A54585">
              <w:rPr>
                <w:rFonts w:ascii="Calibri" w:eastAsia="Calibri" w:hAnsi="Calibri" w:cs="Tahoma"/>
                <w:sz w:val="22"/>
                <w:szCs w:val="22"/>
              </w:rPr>
              <w:t xml:space="preserve">We would pack nine notecards per student in a zip-lock bag, three </w:t>
            </w:r>
            <w:r w:rsidR="00156639">
              <w:rPr>
                <w:rFonts w:ascii="Calibri" w:eastAsia="Calibri" w:hAnsi="Calibri" w:cs="Tahoma"/>
                <w:sz w:val="22"/>
                <w:szCs w:val="22"/>
              </w:rPr>
              <w:t xml:space="preserve">notecards </w:t>
            </w:r>
            <w:r w:rsidR="00A54585">
              <w:rPr>
                <w:rFonts w:ascii="Calibri" w:eastAsia="Calibri" w:hAnsi="Calibri" w:cs="Tahoma"/>
                <w:sz w:val="22"/>
                <w:szCs w:val="22"/>
              </w:rPr>
              <w:t xml:space="preserve">per word: </w:t>
            </w:r>
            <w:r w:rsidR="00156639">
              <w:rPr>
                <w:rFonts w:ascii="Calibri" w:eastAsia="Calibri" w:hAnsi="Calibri" w:cs="Tahoma"/>
                <w:sz w:val="22"/>
                <w:szCs w:val="22"/>
              </w:rPr>
              <w:t xml:space="preserve">they, them, and </w:t>
            </w:r>
            <w:proofErr w:type="gramStart"/>
            <w:r w:rsidR="00156639">
              <w:rPr>
                <w:rFonts w:ascii="Calibri" w:eastAsia="Calibri" w:hAnsi="Calibri" w:cs="Tahoma"/>
                <w:sz w:val="22"/>
                <w:szCs w:val="22"/>
              </w:rPr>
              <w:t>their</w:t>
            </w:r>
            <w:proofErr w:type="gramEnd"/>
            <w:r w:rsidR="00156639">
              <w:rPr>
                <w:rFonts w:ascii="Calibri" w:eastAsia="Calibri" w:hAnsi="Calibri" w:cs="Tahoma"/>
                <w:sz w:val="22"/>
                <w:szCs w:val="22"/>
              </w:rPr>
              <w:t>. Two of the notecards for one word would have a fill in the blank sentence on the front, and the plural noun (the answer) would be on the other side. An example would be: on the front of the notecard, it would say, “-------- went to the beach</w:t>
            </w:r>
            <w:r w:rsidR="00DE7164">
              <w:rPr>
                <w:rFonts w:ascii="Calibri" w:eastAsia="Calibri" w:hAnsi="Calibri" w:cs="Tahoma"/>
                <w:sz w:val="22"/>
                <w:szCs w:val="22"/>
              </w:rPr>
              <w:t xml:space="preserve">.” On the back of the notecard it would </w:t>
            </w:r>
            <w:r w:rsidR="00247E1F">
              <w:rPr>
                <w:rFonts w:ascii="Calibri" w:eastAsia="Calibri" w:hAnsi="Calibri" w:cs="Tahoma"/>
                <w:sz w:val="22"/>
                <w:szCs w:val="22"/>
              </w:rPr>
              <w:t>say, “they”. On one of the notecards for each word, the students would have to make their own sentence with the word. On the front of the notecard it would say, “they, them, or their” and on the back, the student would write their own sentence using the word.</w:t>
            </w:r>
          </w:p>
        </w:tc>
      </w:tr>
      <w:tr w:rsidR="00391E8E" w14:paraId="10189F1B"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74D0FA20" w14:textId="2502EF01" w:rsidR="00391E8E" w:rsidRPr="002737E8" w:rsidRDefault="00391E8E" w:rsidP="00391E8E">
            <w:pPr>
              <w:autoSpaceDE w:val="0"/>
              <w:autoSpaceDN w:val="0"/>
              <w:adjustRightInd w:val="0"/>
              <w:rPr>
                <w:rFonts w:ascii="Calibri" w:eastAsia="Calibri" w:hAnsi="Calibri" w:cs="Tahoma"/>
                <w:b/>
                <w:sz w:val="22"/>
                <w:szCs w:val="22"/>
              </w:rPr>
            </w:pPr>
            <w:r>
              <w:rPr>
                <w:rFonts w:ascii="Calibri" w:eastAsia="Calibri" w:hAnsi="Calibri" w:cs="Tahoma"/>
                <w:b/>
                <w:sz w:val="22"/>
                <w:szCs w:val="22"/>
              </w:rPr>
              <w:t xml:space="preserve">Assessments: </w:t>
            </w:r>
            <w:r>
              <w:rPr>
                <w:rFonts w:ascii="Calibri" w:eastAsia="Calibri" w:hAnsi="Calibri" w:cs="Tahoma"/>
                <w:color w:val="0000FF"/>
                <w:sz w:val="22"/>
                <w:szCs w:val="22"/>
              </w:rPr>
              <w:t>[List all evaluation tools used here. Each lesson must include some form of assessment.]</w:t>
            </w:r>
            <w:r w:rsidR="001401CC">
              <w:rPr>
                <w:rFonts w:ascii="Calibri" w:eastAsia="Calibri" w:hAnsi="Calibri" w:cs="Tahoma"/>
                <w:color w:val="0000FF"/>
                <w:sz w:val="22"/>
                <w:szCs w:val="22"/>
              </w:rPr>
              <w:t xml:space="preserve"> </w:t>
            </w:r>
            <w:r w:rsidR="002737E8">
              <w:rPr>
                <w:rFonts w:ascii="Calibri" w:eastAsia="Calibri" w:hAnsi="Calibri" w:cs="Tahoma"/>
                <w:sz w:val="22"/>
                <w:szCs w:val="22"/>
              </w:rPr>
              <w:t xml:space="preserve">The teacher will use the main lesson activity as a temporary assessment, and then </w:t>
            </w:r>
            <w:proofErr w:type="gramStart"/>
            <w:r w:rsidR="002737E8">
              <w:rPr>
                <w:rFonts w:ascii="Calibri" w:eastAsia="Calibri" w:hAnsi="Calibri" w:cs="Tahoma"/>
                <w:sz w:val="22"/>
                <w:szCs w:val="22"/>
              </w:rPr>
              <w:t>later on</w:t>
            </w:r>
            <w:proofErr w:type="gramEnd"/>
            <w:r w:rsidR="002737E8">
              <w:rPr>
                <w:rFonts w:ascii="Calibri" w:eastAsia="Calibri" w:hAnsi="Calibri" w:cs="Tahoma"/>
                <w:sz w:val="22"/>
                <w:szCs w:val="22"/>
              </w:rPr>
              <w:t xml:space="preserve"> at the end of the week, do a written assessment and collect data. The assessment would be half multiple choice and half fill in the blank. </w:t>
            </w:r>
            <w:r w:rsidR="00247E1F">
              <w:rPr>
                <w:rFonts w:ascii="Calibri" w:eastAsia="Calibri" w:hAnsi="Calibri" w:cs="Tahoma"/>
                <w:sz w:val="22"/>
                <w:szCs w:val="22"/>
              </w:rPr>
              <w:t>The e</w:t>
            </w:r>
            <w:r w:rsidR="002737E8">
              <w:rPr>
                <w:rFonts w:ascii="Calibri" w:eastAsia="Calibri" w:hAnsi="Calibri" w:cs="Tahoma"/>
                <w:sz w:val="22"/>
                <w:szCs w:val="22"/>
              </w:rPr>
              <w:t xml:space="preserve">xtra credit activity on the test would be the students creating three separate sentences using the words “they, them, </w:t>
            </w:r>
            <w:proofErr w:type="gramStart"/>
            <w:r w:rsidR="002737E8">
              <w:rPr>
                <w:rFonts w:ascii="Calibri" w:eastAsia="Calibri" w:hAnsi="Calibri" w:cs="Tahoma"/>
                <w:sz w:val="22"/>
                <w:szCs w:val="22"/>
              </w:rPr>
              <w:t>their</w:t>
            </w:r>
            <w:proofErr w:type="gramEnd"/>
            <w:r w:rsidR="002737E8">
              <w:rPr>
                <w:rFonts w:ascii="Calibri" w:eastAsia="Calibri" w:hAnsi="Calibri" w:cs="Tahoma"/>
                <w:sz w:val="22"/>
                <w:szCs w:val="22"/>
              </w:rPr>
              <w:t>.”</w:t>
            </w:r>
          </w:p>
        </w:tc>
      </w:tr>
      <w:tr w:rsidR="00391E8E" w14:paraId="5D870477"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1B9C7D7E" w14:textId="683035E9" w:rsidR="00391E8E" w:rsidRPr="00A74A16" w:rsidRDefault="00391E8E" w:rsidP="00391E8E">
            <w:pPr>
              <w:autoSpaceDE w:val="0"/>
              <w:autoSpaceDN w:val="0"/>
              <w:adjustRightInd w:val="0"/>
              <w:rPr>
                <w:rFonts w:ascii="Calibri" w:eastAsia="Calibri" w:hAnsi="Calibri" w:cs="Tahoma"/>
                <w:b/>
                <w:sz w:val="22"/>
                <w:szCs w:val="22"/>
              </w:rPr>
            </w:pPr>
            <w:r>
              <w:rPr>
                <w:rFonts w:ascii="Calibri" w:eastAsia="Calibri" w:hAnsi="Calibri" w:cs="Tahoma"/>
                <w:b/>
                <w:color w:val="000000"/>
                <w:sz w:val="22"/>
                <w:szCs w:val="22"/>
              </w:rPr>
              <w:t xml:space="preserve">Extenders/Back-up Activities: </w:t>
            </w:r>
            <w:r>
              <w:rPr>
                <w:rFonts w:ascii="Calibri" w:eastAsia="Calibri" w:hAnsi="Calibri" w:cs="Tahoma"/>
                <w:color w:val="0000FF"/>
                <w:sz w:val="22"/>
                <w:szCs w:val="22"/>
              </w:rPr>
              <w:t>[List activities to use if</w:t>
            </w:r>
            <w:r>
              <w:rPr>
                <w:rFonts w:ascii="Calibri" w:eastAsia="Calibri" w:hAnsi="Calibri" w:cs="Tahoma"/>
                <w:b/>
                <w:color w:val="0000FF"/>
                <w:sz w:val="22"/>
                <w:szCs w:val="22"/>
              </w:rPr>
              <w:t xml:space="preserve"> </w:t>
            </w:r>
            <w:r>
              <w:rPr>
                <w:rFonts w:ascii="Calibri" w:eastAsia="Calibri" w:hAnsi="Calibri" w:cs="Tahoma"/>
                <w:color w:val="0000FF"/>
                <w:sz w:val="22"/>
                <w:szCs w:val="22"/>
              </w:rPr>
              <w:t xml:space="preserve">the planned lesson ends early.] </w:t>
            </w:r>
            <w:r w:rsidR="00A74A16">
              <w:rPr>
                <w:rFonts w:ascii="Calibri" w:eastAsia="Calibri" w:hAnsi="Calibri" w:cs="Tahoma"/>
                <w:sz w:val="22"/>
                <w:szCs w:val="22"/>
              </w:rPr>
              <w:t xml:space="preserve">Another activity we could do is a notecard competition race. </w:t>
            </w:r>
            <w:r w:rsidR="00B75EBC">
              <w:rPr>
                <w:rFonts w:ascii="Calibri" w:eastAsia="Calibri" w:hAnsi="Calibri" w:cs="Tahoma"/>
                <w:sz w:val="22"/>
                <w:szCs w:val="22"/>
              </w:rPr>
              <w:t>The teacher would split the class in half and have them get in two lines. The teacher would then project a sentence on the board with a blank where the word, “they, them, or there” should be. Then the students at the front of the separate lines will quickly hold up the word that they think would fit in the blank. Whichever line has the most correct answers at the end wins. To make it more intriguing for the students, we could have them name their group something grammar related (Excited Exclamation Marks, Crazy Colons, Peppy Parenthesis, etc.)</w:t>
            </w:r>
          </w:p>
        </w:tc>
      </w:tr>
      <w:tr w:rsidR="00391E8E" w14:paraId="211BC20D"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1FC34431" w14:textId="3EEC261D" w:rsidR="00391E8E" w:rsidRPr="002737E8" w:rsidRDefault="00391E8E">
            <w:pPr>
              <w:autoSpaceDE w:val="0"/>
              <w:autoSpaceDN w:val="0"/>
              <w:adjustRightInd w:val="0"/>
              <w:rPr>
                <w:rFonts w:ascii="Calibri" w:eastAsia="Calibri" w:hAnsi="Calibri" w:cs="Tahoma"/>
                <w:b/>
                <w:sz w:val="22"/>
                <w:szCs w:val="22"/>
              </w:rPr>
            </w:pPr>
            <w:r>
              <w:rPr>
                <w:rFonts w:ascii="Calibri" w:eastAsia="Calibri" w:hAnsi="Calibri" w:cs="Tahoma"/>
                <w:b/>
                <w:color w:val="000000"/>
                <w:sz w:val="22"/>
                <w:szCs w:val="22"/>
              </w:rPr>
              <w:t xml:space="preserve">Materials </w:t>
            </w:r>
            <w:r>
              <w:rPr>
                <w:rFonts w:ascii="Calibri" w:eastAsia="Calibri" w:hAnsi="Calibri" w:cs="Tahoma"/>
                <w:color w:val="0000FF"/>
                <w:sz w:val="22"/>
                <w:szCs w:val="22"/>
              </w:rPr>
              <w:t>[List and identify all the materials needed to conduct the lesson, i.e., magazines, scissors, VCR, video, etc.]</w:t>
            </w:r>
            <w:r w:rsidR="002737E8">
              <w:rPr>
                <w:rFonts w:ascii="Calibri" w:eastAsia="Calibri" w:hAnsi="Calibri" w:cs="Tahoma"/>
                <w:color w:val="0000FF"/>
                <w:sz w:val="22"/>
                <w:szCs w:val="22"/>
              </w:rPr>
              <w:t xml:space="preserve"> </w:t>
            </w:r>
            <w:r w:rsidR="002737E8">
              <w:rPr>
                <w:rFonts w:ascii="Calibri" w:eastAsia="Calibri" w:hAnsi="Calibri" w:cs="Tahoma"/>
                <w:sz w:val="22"/>
                <w:szCs w:val="22"/>
              </w:rPr>
              <w:t xml:space="preserve">notecards, </w:t>
            </w:r>
            <w:proofErr w:type="spellStart"/>
            <w:r w:rsidR="002737E8">
              <w:rPr>
                <w:rFonts w:ascii="Calibri" w:eastAsia="Calibri" w:hAnsi="Calibri" w:cs="Tahoma"/>
                <w:sz w:val="22"/>
                <w:szCs w:val="22"/>
              </w:rPr>
              <w:t>ziplock</w:t>
            </w:r>
            <w:proofErr w:type="spellEnd"/>
            <w:r w:rsidR="002737E8">
              <w:rPr>
                <w:rFonts w:ascii="Calibri" w:eastAsia="Calibri" w:hAnsi="Calibri" w:cs="Tahoma"/>
                <w:sz w:val="22"/>
                <w:szCs w:val="22"/>
              </w:rPr>
              <w:t xml:space="preserve"> </w:t>
            </w:r>
            <w:proofErr w:type="spellStart"/>
            <w:r w:rsidR="002737E8">
              <w:rPr>
                <w:rFonts w:ascii="Calibri" w:eastAsia="Calibri" w:hAnsi="Calibri" w:cs="Tahoma"/>
                <w:sz w:val="22"/>
                <w:szCs w:val="22"/>
              </w:rPr>
              <w:t>sandwhich</w:t>
            </w:r>
            <w:proofErr w:type="spellEnd"/>
            <w:r w:rsidR="002737E8">
              <w:rPr>
                <w:rFonts w:ascii="Calibri" w:eastAsia="Calibri" w:hAnsi="Calibri" w:cs="Tahoma"/>
                <w:sz w:val="22"/>
                <w:szCs w:val="22"/>
              </w:rPr>
              <w:t xml:space="preserve"> bags, projector (for teacher)</w:t>
            </w:r>
          </w:p>
        </w:tc>
      </w:tr>
      <w:tr w:rsidR="00391E8E" w14:paraId="59FB7493" w14:textId="77777777" w:rsidTr="00391E8E">
        <w:tc>
          <w:tcPr>
            <w:tcW w:w="8630" w:type="dxa"/>
            <w:gridSpan w:val="2"/>
            <w:tcBorders>
              <w:top w:val="single" w:sz="4" w:space="0" w:color="000000"/>
              <w:left w:val="single" w:sz="4" w:space="0" w:color="000000"/>
              <w:bottom w:val="single" w:sz="4" w:space="0" w:color="000000"/>
              <w:right w:val="single" w:sz="4" w:space="0" w:color="000000"/>
            </w:tcBorders>
            <w:hideMark/>
          </w:tcPr>
          <w:p w14:paraId="3CF06C58" w14:textId="77777777" w:rsidR="00391E8E" w:rsidRDefault="00391E8E">
            <w:pPr>
              <w:autoSpaceDE w:val="0"/>
              <w:autoSpaceDN w:val="0"/>
              <w:adjustRightInd w:val="0"/>
              <w:rPr>
                <w:rFonts w:ascii="Calibri" w:eastAsia="Calibri" w:hAnsi="Calibri" w:cs="Tahoma"/>
                <w:color w:val="0000FF"/>
                <w:sz w:val="22"/>
                <w:szCs w:val="22"/>
              </w:rPr>
            </w:pPr>
            <w:r>
              <w:rPr>
                <w:rFonts w:ascii="Calibri" w:eastAsia="Calibri" w:hAnsi="Calibri" w:cs="Tahoma"/>
                <w:b/>
                <w:color w:val="000000"/>
                <w:sz w:val="22"/>
                <w:szCs w:val="22"/>
              </w:rPr>
              <w:t xml:space="preserve">Sources Used: </w:t>
            </w:r>
            <w:r w:rsidR="005713A9">
              <w:rPr>
                <w:rFonts w:ascii="Calibri" w:eastAsia="Calibri" w:hAnsi="Calibri" w:cs="Tahoma"/>
                <w:color w:val="0000FF"/>
                <w:sz w:val="22"/>
                <w:szCs w:val="22"/>
              </w:rPr>
              <w:t xml:space="preserve">[Attach a </w:t>
            </w:r>
            <w:r>
              <w:rPr>
                <w:rFonts w:ascii="Calibri" w:eastAsia="Calibri" w:hAnsi="Calibri" w:cs="Tahoma"/>
                <w:color w:val="0000FF"/>
                <w:sz w:val="22"/>
                <w:szCs w:val="22"/>
              </w:rPr>
              <w:t>list of all sources used to prepare this lesson.]</w:t>
            </w:r>
            <w:r w:rsidR="00156639">
              <w:rPr>
                <w:rFonts w:ascii="Calibri" w:eastAsia="Calibri" w:hAnsi="Calibri" w:cs="Tahoma"/>
                <w:color w:val="0000FF"/>
                <w:sz w:val="22"/>
                <w:szCs w:val="22"/>
              </w:rPr>
              <w:t xml:space="preserve"> </w:t>
            </w:r>
          </w:p>
          <w:p w14:paraId="40F033AE" w14:textId="4025DCA4" w:rsidR="00156639" w:rsidRDefault="007116C3">
            <w:pPr>
              <w:autoSpaceDE w:val="0"/>
              <w:autoSpaceDN w:val="0"/>
              <w:adjustRightInd w:val="0"/>
              <w:rPr>
                <w:rFonts w:ascii="Calibri" w:eastAsia="Calibri" w:hAnsi="Calibri" w:cs="Tahoma"/>
                <w:b/>
                <w:color w:val="000000"/>
                <w:sz w:val="22"/>
                <w:szCs w:val="22"/>
              </w:rPr>
            </w:pPr>
            <w:r w:rsidRPr="007116C3">
              <w:rPr>
                <w:rFonts w:ascii="Calibri" w:eastAsia="Calibri" w:hAnsi="Calibri" w:cs="Tahoma"/>
                <w:b/>
                <w:color w:val="000000"/>
                <w:sz w:val="22"/>
                <w:szCs w:val="22"/>
              </w:rPr>
              <w:t>http://www.onestopenglish.com/methodology/teaching-tips/ask-the-experts/grammar-questions/grammar-them-and-they/146352.article</w:t>
            </w:r>
          </w:p>
        </w:tc>
      </w:tr>
    </w:tbl>
    <w:p w14:paraId="1EB4077E" w14:textId="77777777" w:rsidR="00660805" w:rsidRDefault="008A2F90"/>
    <w:p w14:paraId="7B902950" w14:textId="77777777" w:rsidR="0017720D" w:rsidRDefault="0017720D"/>
    <w:p w14:paraId="648DD946" w14:textId="77777777" w:rsidR="0006244B" w:rsidRPr="0006244B" w:rsidRDefault="0006244B" w:rsidP="0006244B">
      <w:r w:rsidRPr="0006244B">
        <w:t> </w:t>
      </w:r>
    </w:p>
    <w:p w14:paraId="30D52BF8" w14:textId="77777777" w:rsidR="0006244B" w:rsidRPr="0006244B" w:rsidRDefault="0006244B" w:rsidP="0006244B">
      <w:pPr>
        <w:jc w:val="center"/>
        <w:rPr>
          <w:b/>
          <w:u w:val="single"/>
        </w:rPr>
      </w:pPr>
      <w:r>
        <w:rPr>
          <w:b/>
          <w:u w:val="single"/>
        </w:rPr>
        <w:t>NCTE/IRA Standards</w:t>
      </w:r>
    </w:p>
    <w:p w14:paraId="7D04A541" w14:textId="77777777" w:rsidR="005E513A" w:rsidRDefault="005E513A" w:rsidP="005E513A">
      <w:pPr>
        <w:jc w:val="center"/>
      </w:pPr>
      <w:r w:rsidRPr="0006244B">
        <w:t>http://www.ncte.org/standards/ncte-ira</w:t>
      </w:r>
    </w:p>
    <w:p w14:paraId="3644987D" w14:textId="77777777" w:rsidR="0006244B" w:rsidRDefault="0006244B" w:rsidP="005E513A">
      <w:pPr>
        <w:jc w:val="center"/>
      </w:pPr>
    </w:p>
    <w:p w14:paraId="009AC037" w14:textId="77777777" w:rsidR="005E513A" w:rsidRDefault="005E513A" w:rsidP="0006244B"/>
    <w:p w14:paraId="4BCCB86D" w14:textId="77777777" w:rsidR="0006244B" w:rsidRPr="0006244B" w:rsidRDefault="0006244B" w:rsidP="0006244B">
      <w:pPr>
        <w:rPr>
          <w:b/>
          <w:i/>
        </w:rPr>
      </w:pPr>
      <w:r w:rsidRPr="0006244B">
        <w:t>Published jointly by NCTE and the International Reading Association (IRA) in 1996, </w:t>
      </w:r>
      <w:r w:rsidRPr="0006244B">
        <w:rPr>
          <w:b/>
          <w:bCs/>
          <w:i/>
          <w:iCs/>
        </w:rPr>
        <w:t>The Standards for the English Language Arts</w:t>
      </w:r>
      <w:r w:rsidRPr="0006244B">
        <w:t> is designed to complement other national, state, and local standards and contributes to ongoing discussion about English language arts classroom activities and curricula. </w:t>
      </w:r>
      <w:r>
        <w:t xml:space="preserve"> </w:t>
      </w:r>
      <w:r>
        <w:rPr>
          <w:b/>
          <w:i/>
        </w:rPr>
        <w:t>(Reaffirmed 11/12)</w:t>
      </w:r>
    </w:p>
    <w:p w14:paraId="07CBFB27" w14:textId="77777777" w:rsidR="0006244B" w:rsidRDefault="0006244B"/>
    <w:p w14:paraId="376EC609" w14:textId="77777777" w:rsidR="0006244B" w:rsidRPr="0006244B" w:rsidRDefault="0006244B" w:rsidP="0006244B">
      <w:pPr>
        <w:numPr>
          <w:ilvl w:val="0"/>
          <w:numId w:val="1"/>
        </w:numPr>
      </w:pPr>
      <w:r w:rsidRPr="0006244B">
        <w:t>Students read a wide range of print and non-print texts to build an understanding of texts, of themselves, and of the cultures of the United States and the world; to acquire new information; to respond to the needs and demands of society and the workplace; and for personal fulfillment. Among these texts are fiction and nonfiction, classic and contemporary works.</w:t>
      </w:r>
    </w:p>
    <w:p w14:paraId="2FB009F5" w14:textId="77777777" w:rsidR="0006244B" w:rsidRPr="0006244B" w:rsidRDefault="0006244B" w:rsidP="0006244B">
      <w:pPr>
        <w:numPr>
          <w:ilvl w:val="0"/>
          <w:numId w:val="1"/>
        </w:numPr>
      </w:pPr>
      <w:r w:rsidRPr="0006244B">
        <w:t>Students read a wide range of literature from many periods in many genres to build an understanding of the many dimensions (e.g., philosophical, ethical, aesthetic) of human experience.</w:t>
      </w:r>
    </w:p>
    <w:p w14:paraId="0F7AC8CF" w14:textId="77777777" w:rsidR="0006244B" w:rsidRPr="0006244B" w:rsidRDefault="0006244B" w:rsidP="0006244B">
      <w:pPr>
        <w:numPr>
          <w:ilvl w:val="0"/>
          <w:numId w:val="1"/>
        </w:numPr>
      </w:pPr>
      <w:r w:rsidRPr="0006244B">
        <w:t>Students apply a wide range of strategies to comprehend, interpret, evaluate, and appreciate texts. They draw on their prior experience, their interactions with other readers and writers, their knowledge of word meaning and of other texts, their word identification strategies, and their understanding of textual features (e.g., sound-letter correspondence, sentence structure, context, graphics).</w:t>
      </w:r>
    </w:p>
    <w:p w14:paraId="747667A4" w14:textId="77777777" w:rsidR="0006244B" w:rsidRPr="0006244B" w:rsidRDefault="0006244B" w:rsidP="0006244B">
      <w:pPr>
        <w:numPr>
          <w:ilvl w:val="0"/>
          <w:numId w:val="1"/>
        </w:numPr>
      </w:pPr>
      <w:r w:rsidRPr="0006244B">
        <w:t>Students adjust their use of spoken, written, and visual language (e.g., conventions, style, vocabulary) to communicate effectively with a variety of audiences and for different purposes.</w:t>
      </w:r>
    </w:p>
    <w:p w14:paraId="7D72F27D" w14:textId="77777777" w:rsidR="0006244B" w:rsidRPr="0006244B" w:rsidRDefault="0006244B" w:rsidP="0006244B">
      <w:pPr>
        <w:numPr>
          <w:ilvl w:val="0"/>
          <w:numId w:val="1"/>
        </w:numPr>
      </w:pPr>
      <w:r w:rsidRPr="0006244B">
        <w:t>Students employ a wide range of strategies as they write and use different writing process elements appropriately to communicate with different audiences for a variety of purposes.</w:t>
      </w:r>
    </w:p>
    <w:p w14:paraId="3DCDA59D" w14:textId="77777777" w:rsidR="0006244B" w:rsidRPr="0006244B" w:rsidRDefault="0006244B" w:rsidP="0006244B">
      <w:pPr>
        <w:numPr>
          <w:ilvl w:val="0"/>
          <w:numId w:val="1"/>
        </w:numPr>
      </w:pPr>
      <w:r w:rsidRPr="0006244B">
        <w:t>Students apply knowledge of language structure, language conventions (e.g., spelling and punctuation), media techniques, figurative language, and genre to create, critique, and discuss print and non-print texts.</w:t>
      </w:r>
    </w:p>
    <w:p w14:paraId="155749C9" w14:textId="77777777" w:rsidR="0006244B" w:rsidRPr="0006244B" w:rsidRDefault="0006244B" w:rsidP="0006244B">
      <w:pPr>
        <w:numPr>
          <w:ilvl w:val="0"/>
          <w:numId w:val="1"/>
        </w:numPr>
      </w:pPr>
      <w:r w:rsidRPr="0006244B">
        <w:t>Students conduct research on issues and interests by generating ideas and questions, and by posing problems. They gather, evaluate, and synthesize data from a variety of sources (e.g., print and non-print texts, artifacts, people) to communicate their discoveries in ways that suit their purpose and audience.</w:t>
      </w:r>
    </w:p>
    <w:p w14:paraId="50B65E03" w14:textId="77777777" w:rsidR="0006244B" w:rsidRPr="0006244B" w:rsidRDefault="0006244B" w:rsidP="0006244B">
      <w:pPr>
        <w:numPr>
          <w:ilvl w:val="0"/>
          <w:numId w:val="1"/>
        </w:numPr>
      </w:pPr>
      <w:r w:rsidRPr="0006244B">
        <w:t>Students use a variety of technological and information resources (e.g., libraries, databases, computer networks, video) to gather and synthesize information and to create and communicate knowledge.</w:t>
      </w:r>
    </w:p>
    <w:p w14:paraId="7F41898E" w14:textId="77777777" w:rsidR="0006244B" w:rsidRPr="0006244B" w:rsidRDefault="0006244B" w:rsidP="0006244B">
      <w:pPr>
        <w:numPr>
          <w:ilvl w:val="0"/>
          <w:numId w:val="1"/>
        </w:numPr>
      </w:pPr>
      <w:r w:rsidRPr="0006244B">
        <w:t>Students develop an understanding of and respect for diversity in language use, patterns, and dialects across cultures, ethnic groups, geographic regions, and social roles.</w:t>
      </w:r>
    </w:p>
    <w:p w14:paraId="1046FF14" w14:textId="77777777" w:rsidR="0006244B" w:rsidRPr="0006244B" w:rsidRDefault="0006244B" w:rsidP="0006244B">
      <w:pPr>
        <w:numPr>
          <w:ilvl w:val="0"/>
          <w:numId w:val="1"/>
        </w:numPr>
      </w:pPr>
      <w:r w:rsidRPr="0006244B">
        <w:t>Students whose first language is not English make use of their first language to develop competency in the English language arts and to develop understanding of content across the curriculum.</w:t>
      </w:r>
    </w:p>
    <w:p w14:paraId="0EB46ABA" w14:textId="77777777" w:rsidR="0006244B" w:rsidRPr="0006244B" w:rsidRDefault="0006244B" w:rsidP="0006244B">
      <w:pPr>
        <w:numPr>
          <w:ilvl w:val="0"/>
          <w:numId w:val="1"/>
        </w:numPr>
      </w:pPr>
      <w:r w:rsidRPr="0006244B">
        <w:t>Students participate as knowledgeable, reflective, creative, and critical members of a variety of literacy communities.</w:t>
      </w:r>
    </w:p>
    <w:p w14:paraId="3A6F077C" w14:textId="77777777" w:rsidR="0006244B" w:rsidRPr="0006244B" w:rsidRDefault="0006244B" w:rsidP="0006244B">
      <w:pPr>
        <w:numPr>
          <w:ilvl w:val="0"/>
          <w:numId w:val="1"/>
        </w:numPr>
      </w:pPr>
      <w:r w:rsidRPr="0006244B">
        <w:t>Students use spoken, written, and visual language to accomplish their own purposes (e.g., for learning, enjoyment, persuasion, and the exchange of information).</w:t>
      </w:r>
    </w:p>
    <w:p w14:paraId="507EF670" w14:textId="77777777" w:rsidR="0006244B" w:rsidRDefault="0006244B"/>
    <w:sectPr w:rsidR="00062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5E7"/>
    <w:multiLevelType w:val="multilevel"/>
    <w:tmpl w:val="7350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8E"/>
    <w:rsid w:val="0006244B"/>
    <w:rsid w:val="000B4264"/>
    <w:rsid w:val="00125695"/>
    <w:rsid w:val="001401CC"/>
    <w:rsid w:val="00156639"/>
    <w:rsid w:val="0017720D"/>
    <w:rsid w:val="00226F31"/>
    <w:rsid w:val="00247E1F"/>
    <w:rsid w:val="00260234"/>
    <w:rsid w:val="002737E8"/>
    <w:rsid w:val="00273A11"/>
    <w:rsid w:val="002B6514"/>
    <w:rsid w:val="00391E8E"/>
    <w:rsid w:val="005713A9"/>
    <w:rsid w:val="005E513A"/>
    <w:rsid w:val="007116C3"/>
    <w:rsid w:val="007F2BB8"/>
    <w:rsid w:val="008A2F90"/>
    <w:rsid w:val="009A7A87"/>
    <w:rsid w:val="009E154F"/>
    <w:rsid w:val="00A54585"/>
    <w:rsid w:val="00A74A16"/>
    <w:rsid w:val="00B75EBC"/>
    <w:rsid w:val="00CA6B1C"/>
    <w:rsid w:val="00DE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5022"/>
  <w15:docId w15:val="{29EB1F7B-FF66-4875-9B1E-F42B32F7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9424">
      <w:bodyDiv w:val="1"/>
      <w:marLeft w:val="0"/>
      <w:marRight w:val="0"/>
      <w:marTop w:val="0"/>
      <w:marBottom w:val="0"/>
      <w:divBdr>
        <w:top w:val="none" w:sz="0" w:space="0" w:color="auto"/>
        <w:left w:val="none" w:sz="0" w:space="0" w:color="auto"/>
        <w:bottom w:val="none" w:sz="0" w:space="0" w:color="auto"/>
        <w:right w:val="none" w:sz="0" w:space="0" w:color="auto"/>
      </w:divBdr>
    </w:div>
    <w:div w:id="638459187">
      <w:bodyDiv w:val="1"/>
      <w:marLeft w:val="0"/>
      <w:marRight w:val="0"/>
      <w:marTop w:val="0"/>
      <w:marBottom w:val="0"/>
      <w:divBdr>
        <w:top w:val="none" w:sz="0" w:space="0" w:color="auto"/>
        <w:left w:val="none" w:sz="0" w:space="0" w:color="auto"/>
        <w:bottom w:val="none" w:sz="0" w:space="0" w:color="auto"/>
        <w:right w:val="none" w:sz="0" w:space="0" w:color="auto"/>
      </w:divBdr>
    </w:div>
    <w:div w:id="691683079">
      <w:bodyDiv w:val="1"/>
      <w:marLeft w:val="0"/>
      <w:marRight w:val="0"/>
      <w:marTop w:val="0"/>
      <w:marBottom w:val="0"/>
      <w:divBdr>
        <w:top w:val="none" w:sz="0" w:space="0" w:color="auto"/>
        <w:left w:val="none" w:sz="0" w:space="0" w:color="auto"/>
        <w:bottom w:val="none" w:sz="0" w:space="0" w:color="auto"/>
        <w:right w:val="none" w:sz="0" w:space="0" w:color="auto"/>
      </w:divBdr>
    </w:div>
    <w:div w:id="905990479">
      <w:bodyDiv w:val="1"/>
      <w:marLeft w:val="0"/>
      <w:marRight w:val="0"/>
      <w:marTop w:val="0"/>
      <w:marBottom w:val="0"/>
      <w:divBdr>
        <w:top w:val="none" w:sz="0" w:space="0" w:color="auto"/>
        <w:left w:val="none" w:sz="0" w:space="0" w:color="auto"/>
        <w:bottom w:val="none" w:sz="0" w:space="0" w:color="auto"/>
        <w:right w:val="none" w:sz="0" w:space="0" w:color="auto"/>
      </w:divBdr>
    </w:div>
    <w:div w:id="19446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academiccomputing</dc:creator>
  <cp:lastModifiedBy>Abigail Deguzman</cp:lastModifiedBy>
  <cp:revision>8</cp:revision>
  <dcterms:created xsi:type="dcterms:W3CDTF">2018-04-24T23:47:00Z</dcterms:created>
  <dcterms:modified xsi:type="dcterms:W3CDTF">2018-12-03T18:20:00Z</dcterms:modified>
</cp:coreProperties>
</file>