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77F70" w14:textId="34EA9120" w:rsidR="00B45F86" w:rsidRPr="007B1FFB" w:rsidRDefault="008E45FA" w:rsidP="00300584">
      <w:pPr>
        <w:spacing w:line="480" w:lineRule="auto"/>
        <w:rPr>
          <w:rFonts w:ascii="Times New Roman" w:hAnsi="Times New Roman" w:cs="Times New Roman"/>
        </w:rPr>
      </w:pPr>
      <w:r w:rsidRPr="007B1FFB">
        <w:rPr>
          <w:rFonts w:ascii="Times New Roman" w:hAnsi="Times New Roman" w:cs="Times New Roman"/>
        </w:rPr>
        <w:t>Nicole Barclay</w:t>
      </w:r>
    </w:p>
    <w:p w14:paraId="25CE3F36" w14:textId="51E9A278" w:rsidR="008E45FA" w:rsidRPr="007B1FFB" w:rsidRDefault="008E45FA" w:rsidP="00300584">
      <w:pPr>
        <w:spacing w:line="480" w:lineRule="auto"/>
        <w:rPr>
          <w:rFonts w:ascii="Times New Roman" w:hAnsi="Times New Roman" w:cs="Times New Roman"/>
        </w:rPr>
      </w:pPr>
      <w:r w:rsidRPr="007B1FFB">
        <w:rPr>
          <w:rFonts w:ascii="Times New Roman" w:hAnsi="Times New Roman" w:cs="Times New Roman"/>
        </w:rPr>
        <w:t>BIOL 364-01</w:t>
      </w:r>
    </w:p>
    <w:p w14:paraId="3F0693B2" w14:textId="2AD22692" w:rsidR="008E45FA" w:rsidRPr="007B1FFB" w:rsidRDefault="008E45FA" w:rsidP="00300584">
      <w:pPr>
        <w:spacing w:line="480" w:lineRule="auto"/>
        <w:rPr>
          <w:rFonts w:ascii="Times New Roman" w:hAnsi="Times New Roman" w:cs="Times New Roman"/>
        </w:rPr>
      </w:pPr>
      <w:r w:rsidRPr="007B1FFB">
        <w:rPr>
          <w:rFonts w:ascii="Times New Roman" w:hAnsi="Times New Roman" w:cs="Times New Roman"/>
        </w:rPr>
        <w:t xml:space="preserve">Dr. </w:t>
      </w:r>
      <w:proofErr w:type="spellStart"/>
      <w:r w:rsidRPr="007B1FFB">
        <w:rPr>
          <w:rFonts w:ascii="Times New Roman" w:hAnsi="Times New Roman" w:cs="Times New Roman"/>
        </w:rPr>
        <w:t>Shanle</w:t>
      </w:r>
      <w:proofErr w:type="spellEnd"/>
    </w:p>
    <w:p w14:paraId="5B1E80C9" w14:textId="321E7125" w:rsidR="008E45FA" w:rsidRPr="007B1FFB" w:rsidRDefault="00977C1F" w:rsidP="00300584">
      <w:pPr>
        <w:spacing w:line="480" w:lineRule="auto"/>
        <w:rPr>
          <w:rFonts w:ascii="Times New Roman" w:hAnsi="Times New Roman" w:cs="Times New Roman"/>
        </w:rPr>
      </w:pPr>
      <w:r>
        <w:rPr>
          <w:rFonts w:ascii="Times New Roman" w:hAnsi="Times New Roman" w:cs="Times New Roman"/>
        </w:rPr>
        <w:t>December 4</w:t>
      </w:r>
      <w:r w:rsidR="008E45FA" w:rsidRPr="007B1FFB">
        <w:rPr>
          <w:rFonts w:ascii="Times New Roman" w:hAnsi="Times New Roman" w:cs="Times New Roman"/>
        </w:rPr>
        <w:t>, 2019</w:t>
      </w:r>
    </w:p>
    <w:p w14:paraId="49723462" w14:textId="61DD1C40" w:rsidR="008E45FA" w:rsidRDefault="008E45FA" w:rsidP="00300584">
      <w:pPr>
        <w:spacing w:line="480" w:lineRule="auto"/>
        <w:jc w:val="center"/>
        <w:rPr>
          <w:rFonts w:ascii="Times New Roman" w:hAnsi="Times New Roman" w:cs="Times New Roman"/>
          <w:b/>
          <w:bCs/>
        </w:rPr>
      </w:pPr>
      <w:r w:rsidRPr="00E46055">
        <w:rPr>
          <w:rFonts w:ascii="Times New Roman" w:hAnsi="Times New Roman" w:cs="Times New Roman"/>
          <w:b/>
          <w:bCs/>
        </w:rPr>
        <w:t>Risk Assessment</w:t>
      </w:r>
    </w:p>
    <w:p w14:paraId="7A91BCEE" w14:textId="77777777" w:rsidR="00300584" w:rsidRPr="00300584" w:rsidRDefault="00300584" w:rsidP="00300584">
      <w:pPr>
        <w:spacing w:line="480" w:lineRule="auto"/>
        <w:jc w:val="center"/>
        <w:rPr>
          <w:rFonts w:ascii="Times New Roman" w:hAnsi="Times New Roman" w:cs="Times New Roman"/>
          <w:b/>
          <w:bCs/>
        </w:rPr>
      </w:pPr>
    </w:p>
    <w:p w14:paraId="73289822" w14:textId="54F3E265" w:rsidR="007B1FFB" w:rsidRPr="008171AB" w:rsidRDefault="007B1FFB" w:rsidP="00300584">
      <w:pPr>
        <w:spacing w:line="480" w:lineRule="auto"/>
        <w:rPr>
          <w:rFonts w:ascii="Times New Roman" w:hAnsi="Times New Roman" w:cs="Times New Roman"/>
        </w:rPr>
      </w:pPr>
      <w:r w:rsidRPr="008171AB">
        <w:rPr>
          <w:rFonts w:ascii="Times New Roman" w:hAnsi="Times New Roman" w:cs="Times New Roman"/>
        </w:rPr>
        <w:t>DESCRIPTION OF THE BROWNFIELD SITE</w:t>
      </w:r>
    </w:p>
    <w:p w14:paraId="17F559D4" w14:textId="358F8142" w:rsidR="008E45FA" w:rsidRPr="008171AB" w:rsidRDefault="007B1FFB" w:rsidP="00300584">
      <w:pPr>
        <w:spacing w:line="480" w:lineRule="auto"/>
        <w:rPr>
          <w:rFonts w:ascii="Times New Roman" w:hAnsi="Times New Roman" w:cs="Times New Roman"/>
        </w:rPr>
      </w:pPr>
      <w:r w:rsidRPr="008171AB">
        <w:rPr>
          <w:rFonts w:ascii="Times New Roman" w:hAnsi="Times New Roman" w:cs="Times New Roman"/>
        </w:rPr>
        <w:t>Former Jefferson Davis Hospital</w:t>
      </w:r>
    </w:p>
    <w:p w14:paraId="31E51A9A" w14:textId="77777777" w:rsidR="007B1FFB" w:rsidRPr="008171AB" w:rsidRDefault="003F1C06" w:rsidP="008171AB">
      <w:pPr>
        <w:spacing w:line="480" w:lineRule="auto"/>
        <w:rPr>
          <w:rFonts w:ascii="Times New Roman" w:hAnsi="Times New Roman" w:cs="Times New Roman"/>
        </w:rPr>
      </w:pPr>
      <w:hyperlink r:id="rId5" w:history="1">
        <w:r w:rsidR="007B1FFB" w:rsidRPr="008171AB">
          <w:rPr>
            <w:rStyle w:val="Hyperlink"/>
            <w:rFonts w:ascii="Times New Roman" w:hAnsi="Times New Roman" w:cs="Times New Roman"/>
          </w:rPr>
          <w:t>https://obipublic.epa.gov/analytics/saw.dll?PortalPages&amp;Action=Navigate&amp;PortalPath=/shared/CIMC/_portal/CIMC&amp;Page=Profile+Page&amp;col1=ACRES_GRANT_EXPORT.PROPERTY_ID&amp;val1=%2215155%22</w:t>
        </w:r>
      </w:hyperlink>
    </w:p>
    <w:p w14:paraId="1C6BCD16" w14:textId="40AD0D17" w:rsidR="007B1FFB" w:rsidRPr="008171AB" w:rsidRDefault="007B1FFB" w:rsidP="008171AB">
      <w:pPr>
        <w:spacing w:line="480" w:lineRule="auto"/>
        <w:ind w:firstLine="720"/>
        <w:rPr>
          <w:rFonts w:ascii="Times New Roman" w:hAnsi="Times New Roman" w:cs="Times New Roman"/>
        </w:rPr>
      </w:pPr>
      <w:r w:rsidRPr="008171AB">
        <w:rPr>
          <w:rFonts w:ascii="Times New Roman" w:hAnsi="Times New Roman" w:cs="Times New Roman"/>
        </w:rPr>
        <w:t xml:space="preserve">This property is the former Jefferson Davis Hospital located in the city of Houston, Texas. The hospital was built in 1924 </w:t>
      </w:r>
      <w:r w:rsidR="00897905">
        <w:rPr>
          <w:rFonts w:ascii="Times New Roman" w:hAnsi="Times New Roman" w:cs="Times New Roman"/>
        </w:rPr>
        <w:t>atop</w:t>
      </w:r>
      <w:r w:rsidRPr="008171AB">
        <w:rPr>
          <w:rFonts w:ascii="Times New Roman" w:hAnsi="Times New Roman" w:cs="Times New Roman"/>
        </w:rPr>
        <w:t xml:space="preserve"> a cemetery used during the confederate war and </w:t>
      </w:r>
      <w:r w:rsidR="00BD16D8">
        <w:rPr>
          <w:rFonts w:ascii="Times New Roman" w:hAnsi="Times New Roman" w:cs="Times New Roman"/>
        </w:rPr>
        <w:t xml:space="preserve">has </w:t>
      </w:r>
      <w:r w:rsidRPr="008171AB">
        <w:rPr>
          <w:rFonts w:ascii="Times New Roman" w:hAnsi="Times New Roman" w:cs="Times New Roman"/>
        </w:rPr>
        <w:t xml:space="preserve">now </w:t>
      </w:r>
      <w:r w:rsidR="00BD16D8">
        <w:rPr>
          <w:rFonts w:ascii="Times New Roman" w:hAnsi="Times New Roman" w:cs="Times New Roman"/>
        </w:rPr>
        <w:t xml:space="preserve">been </w:t>
      </w:r>
      <w:r w:rsidRPr="008171AB">
        <w:rPr>
          <w:rFonts w:ascii="Times New Roman" w:hAnsi="Times New Roman" w:cs="Times New Roman"/>
        </w:rPr>
        <w:t xml:space="preserve">reoccupied as Elder Street </w:t>
      </w:r>
      <w:proofErr w:type="spellStart"/>
      <w:r w:rsidRPr="008171AB">
        <w:rPr>
          <w:rFonts w:ascii="Times New Roman" w:hAnsi="Times New Roman" w:cs="Times New Roman"/>
        </w:rPr>
        <w:t>Artists</w:t>
      </w:r>
      <w:proofErr w:type="spellEnd"/>
      <w:r w:rsidRPr="008171AB">
        <w:rPr>
          <w:rFonts w:ascii="Times New Roman" w:hAnsi="Times New Roman" w:cs="Times New Roman"/>
        </w:rPr>
        <w:t xml:space="preserve"> Lofts </w:t>
      </w:r>
      <w:r w:rsidR="00BD16D8">
        <w:rPr>
          <w:rFonts w:ascii="Times New Roman" w:hAnsi="Times New Roman" w:cs="Times New Roman"/>
        </w:rPr>
        <w:t>since</w:t>
      </w:r>
      <w:r w:rsidRPr="008171AB">
        <w:rPr>
          <w:rFonts w:ascii="Times New Roman" w:hAnsi="Times New Roman" w:cs="Times New Roman"/>
        </w:rPr>
        <w:t xml:space="preserve"> 2005. On November 13, 2013, this building was designated as a protected historic landmark within Houston’s Historic First Ward. </w:t>
      </w:r>
    </w:p>
    <w:p w14:paraId="5D5E87C8" w14:textId="0AC00202" w:rsidR="007B1FFB" w:rsidRPr="008171AB" w:rsidRDefault="007B1FFB" w:rsidP="008171AB">
      <w:pPr>
        <w:spacing w:line="480" w:lineRule="auto"/>
        <w:rPr>
          <w:rFonts w:ascii="Times New Roman" w:hAnsi="Times New Roman" w:cs="Times New Roman"/>
        </w:rPr>
      </w:pPr>
      <w:r w:rsidRPr="008171AB">
        <w:rPr>
          <w:rFonts w:ascii="Times New Roman" w:hAnsi="Times New Roman" w:cs="Times New Roman"/>
        </w:rPr>
        <w:tab/>
      </w:r>
      <w:r w:rsidR="00BD16D8">
        <w:rPr>
          <w:rFonts w:ascii="Times New Roman" w:hAnsi="Times New Roman" w:cs="Times New Roman"/>
        </w:rPr>
        <w:t>Through cleanup efforts, a</w:t>
      </w:r>
      <w:r w:rsidRPr="008171AB">
        <w:rPr>
          <w:rFonts w:ascii="Times New Roman" w:hAnsi="Times New Roman" w:cs="Times New Roman"/>
        </w:rPr>
        <w:t xml:space="preserve">n underground storage tank was removed, and asbestos and lead abatement were performed. While the cleanup at this location </w:t>
      </w:r>
      <w:r w:rsidR="00BD16D8">
        <w:rPr>
          <w:rFonts w:ascii="Times New Roman" w:hAnsi="Times New Roman" w:cs="Times New Roman"/>
        </w:rPr>
        <w:t xml:space="preserve">has been listed as </w:t>
      </w:r>
      <w:r w:rsidRPr="008171AB">
        <w:rPr>
          <w:rFonts w:ascii="Times New Roman" w:hAnsi="Times New Roman" w:cs="Times New Roman"/>
        </w:rPr>
        <w:t xml:space="preserve">complete, redevelopment is still in progress and was initiated in August of 2004 for the Jefferson Davis Artist Lofts. Contaminants found at this location </w:t>
      </w:r>
      <w:r w:rsidR="00BD16D8">
        <w:rPr>
          <w:rFonts w:ascii="Times New Roman" w:hAnsi="Times New Roman" w:cs="Times New Roman"/>
        </w:rPr>
        <w:t>have included</w:t>
      </w:r>
      <w:r w:rsidRPr="008171AB">
        <w:rPr>
          <w:rFonts w:ascii="Times New Roman" w:hAnsi="Times New Roman" w:cs="Times New Roman"/>
        </w:rPr>
        <w:t xml:space="preserve"> petroleum products, asbestos and lead, all of which have </w:t>
      </w:r>
      <w:r w:rsidR="00BD16D8">
        <w:rPr>
          <w:rFonts w:ascii="Times New Roman" w:hAnsi="Times New Roman" w:cs="Times New Roman"/>
        </w:rPr>
        <w:t xml:space="preserve">reportedly </w:t>
      </w:r>
      <w:r w:rsidRPr="008171AB">
        <w:rPr>
          <w:rFonts w:ascii="Times New Roman" w:hAnsi="Times New Roman" w:cs="Times New Roman"/>
        </w:rPr>
        <w:t xml:space="preserve">been cleaned up. </w:t>
      </w:r>
    </w:p>
    <w:p w14:paraId="71CD5A23" w14:textId="2B411555" w:rsidR="008E45FA" w:rsidRPr="008171AB" w:rsidRDefault="008E45FA" w:rsidP="008171AB">
      <w:pPr>
        <w:spacing w:line="480" w:lineRule="auto"/>
        <w:rPr>
          <w:rFonts w:ascii="Times New Roman" w:hAnsi="Times New Roman" w:cs="Times New Roman"/>
        </w:rPr>
      </w:pPr>
    </w:p>
    <w:p w14:paraId="4D31AA8A" w14:textId="77777777" w:rsidR="00300584" w:rsidRDefault="00300584">
      <w:pPr>
        <w:rPr>
          <w:rFonts w:ascii="Times New Roman" w:hAnsi="Times New Roman" w:cs="Times New Roman"/>
        </w:rPr>
      </w:pPr>
      <w:r>
        <w:rPr>
          <w:rFonts w:ascii="Times New Roman" w:hAnsi="Times New Roman" w:cs="Times New Roman"/>
        </w:rPr>
        <w:br w:type="page"/>
      </w:r>
    </w:p>
    <w:p w14:paraId="7ADC3325" w14:textId="4409F610" w:rsidR="007B1FFB" w:rsidRPr="008171AB" w:rsidRDefault="007B1FFB" w:rsidP="008171AB">
      <w:pPr>
        <w:spacing w:line="480" w:lineRule="auto"/>
        <w:rPr>
          <w:rFonts w:ascii="Times New Roman" w:hAnsi="Times New Roman" w:cs="Times New Roman"/>
        </w:rPr>
      </w:pPr>
      <w:r w:rsidRPr="008171AB">
        <w:rPr>
          <w:rFonts w:ascii="Times New Roman" w:hAnsi="Times New Roman" w:cs="Times New Roman"/>
        </w:rPr>
        <w:lastRenderedPageBreak/>
        <w:t>HAZARD IDENTIFICATION</w:t>
      </w:r>
    </w:p>
    <w:p w14:paraId="6E32A7FF" w14:textId="4D68B8B4" w:rsidR="00EE57AD" w:rsidRPr="008171AB" w:rsidRDefault="00EE57AD" w:rsidP="008171AB">
      <w:pPr>
        <w:spacing w:line="480" w:lineRule="auto"/>
        <w:ind w:firstLine="720"/>
        <w:rPr>
          <w:rFonts w:ascii="Times New Roman" w:hAnsi="Times New Roman" w:cs="Times New Roman"/>
        </w:rPr>
      </w:pPr>
      <w:r w:rsidRPr="008171AB">
        <w:rPr>
          <w:rFonts w:ascii="Times New Roman" w:hAnsi="Times New Roman" w:cs="Times New Roman"/>
        </w:rPr>
        <w:t xml:space="preserve">Asbestos is found in rocks and soil and </w:t>
      </w:r>
      <w:r w:rsidR="003D3ED3">
        <w:rPr>
          <w:rFonts w:ascii="Times New Roman" w:hAnsi="Times New Roman" w:cs="Times New Roman"/>
        </w:rPr>
        <w:t xml:space="preserve">it is </w:t>
      </w:r>
      <w:r w:rsidRPr="008171AB">
        <w:rPr>
          <w:rFonts w:ascii="Times New Roman" w:hAnsi="Times New Roman" w:cs="Times New Roman"/>
        </w:rPr>
        <w:t xml:space="preserve">used predominantly in construction material including insulation, roofing shingles, floor tiles, cement products, etc. These mineral fibers can be released into the air when disturbed or damaged, which may </w:t>
      </w:r>
      <w:r w:rsidR="003D3ED3">
        <w:rPr>
          <w:rFonts w:ascii="Times New Roman" w:hAnsi="Times New Roman" w:cs="Times New Roman"/>
        </w:rPr>
        <w:t>occur during</w:t>
      </w:r>
      <w:r w:rsidRPr="008171AB">
        <w:rPr>
          <w:rFonts w:ascii="Times New Roman" w:hAnsi="Times New Roman" w:cs="Times New Roman"/>
        </w:rPr>
        <w:t xml:space="preserve"> demolition for example. Exposure to asbestos can have a significant impact on human health, causing lung cancer, mesothelioma or asbestosis (4). </w:t>
      </w:r>
    </w:p>
    <w:p w14:paraId="2DCDDDEA" w14:textId="705AD742" w:rsidR="00EE57AD" w:rsidRPr="008171AB" w:rsidRDefault="00EE57AD" w:rsidP="008171AB">
      <w:pPr>
        <w:spacing w:line="480" w:lineRule="auto"/>
        <w:ind w:firstLine="720"/>
        <w:rPr>
          <w:rFonts w:ascii="Times New Roman" w:hAnsi="Times New Roman" w:cs="Times New Roman"/>
        </w:rPr>
      </w:pPr>
      <w:r w:rsidRPr="008171AB">
        <w:rPr>
          <w:rFonts w:ascii="Times New Roman" w:hAnsi="Times New Roman" w:cs="Times New Roman"/>
        </w:rPr>
        <w:t xml:space="preserve">Petroleum products can be found in </w:t>
      </w:r>
      <w:r w:rsidR="009E3E01">
        <w:rPr>
          <w:rFonts w:ascii="Times New Roman" w:hAnsi="Times New Roman" w:cs="Times New Roman"/>
        </w:rPr>
        <w:t>various</w:t>
      </w:r>
      <w:r w:rsidRPr="008171AB">
        <w:rPr>
          <w:rFonts w:ascii="Times New Roman" w:hAnsi="Times New Roman" w:cs="Times New Roman"/>
        </w:rPr>
        <w:t xml:space="preserve"> fuels, lubricants, household</w:t>
      </w:r>
      <w:r w:rsidR="009E3E01">
        <w:rPr>
          <w:rFonts w:ascii="Times New Roman" w:hAnsi="Times New Roman" w:cs="Times New Roman"/>
        </w:rPr>
        <w:t xml:space="preserve"> products,</w:t>
      </w:r>
      <w:r w:rsidRPr="008171AB">
        <w:rPr>
          <w:rFonts w:ascii="Times New Roman" w:hAnsi="Times New Roman" w:cs="Times New Roman"/>
        </w:rPr>
        <w:t xml:space="preserve"> industrial products, </w:t>
      </w:r>
      <w:r w:rsidR="009E3E01">
        <w:rPr>
          <w:rFonts w:ascii="Times New Roman" w:hAnsi="Times New Roman" w:cs="Times New Roman"/>
        </w:rPr>
        <w:t>medications</w:t>
      </w:r>
      <w:r w:rsidRPr="008171AB">
        <w:rPr>
          <w:rFonts w:ascii="Times New Roman" w:hAnsi="Times New Roman" w:cs="Times New Roman"/>
        </w:rPr>
        <w:t xml:space="preserve"> and plastics (3). Incorrect handling, distribution or disposal of petroleum products can also </w:t>
      </w:r>
      <w:r w:rsidR="003D3ED3">
        <w:rPr>
          <w:rFonts w:ascii="Times New Roman" w:hAnsi="Times New Roman" w:cs="Times New Roman"/>
        </w:rPr>
        <w:t>lead to</w:t>
      </w:r>
      <w:r w:rsidRPr="008171AB">
        <w:rPr>
          <w:rFonts w:ascii="Times New Roman" w:hAnsi="Times New Roman" w:cs="Times New Roman"/>
        </w:rPr>
        <w:t xml:space="preserve"> exposure. Long-term exposure can </w:t>
      </w:r>
      <w:r w:rsidR="003D3ED3">
        <w:rPr>
          <w:rFonts w:ascii="Times New Roman" w:hAnsi="Times New Roman" w:cs="Times New Roman"/>
        </w:rPr>
        <w:t>cause</w:t>
      </w:r>
      <w:r w:rsidRPr="008171AB">
        <w:rPr>
          <w:rFonts w:ascii="Times New Roman" w:hAnsi="Times New Roman" w:cs="Times New Roman"/>
        </w:rPr>
        <w:t xml:space="preserve"> deterioration of the central nervous system</w:t>
      </w:r>
      <w:r w:rsidR="003D3ED3">
        <w:rPr>
          <w:rFonts w:ascii="Times New Roman" w:hAnsi="Times New Roman" w:cs="Times New Roman"/>
        </w:rPr>
        <w:t>, destroying the brain and spinal cord.</w:t>
      </w:r>
    </w:p>
    <w:p w14:paraId="1C68E852" w14:textId="251B23EA" w:rsidR="008F1EE4" w:rsidRPr="008171AB" w:rsidRDefault="008F1EE4" w:rsidP="008171AB">
      <w:pPr>
        <w:spacing w:line="480" w:lineRule="auto"/>
        <w:ind w:firstLine="720"/>
        <w:rPr>
          <w:rFonts w:ascii="Times New Roman" w:hAnsi="Times New Roman" w:cs="Times New Roman"/>
        </w:rPr>
      </w:pPr>
      <w:r w:rsidRPr="008171AB">
        <w:rPr>
          <w:rFonts w:ascii="Times New Roman" w:hAnsi="Times New Roman" w:cs="Times New Roman"/>
        </w:rPr>
        <w:t xml:space="preserve">Lead </w:t>
      </w:r>
      <w:r w:rsidR="0091348E" w:rsidRPr="008171AB">
        <w:rPr>
          <w:rFonts w:ascii="Times New Roman" w:hAnsi="Times New Roman" w:cs="Times New Roman"/>
        </w:rPr>
        <w:t xml:space="preserve">can </w:t>
      </w:r>
      <w:r w:rsidR="003D3ED3">
        <w:rPr>
          <w:rFonts w:ascii="Times New Roman" w:hAnsi="Times New Roman" w:cs="Times New Roman"/>
        </w:rPr>
        <w:t xml:space="preserve">be found in gasoline and air emissions, as well as food and water, and can </w:t>
      </w:r>
      <w:r w:rsidR="0091348E" w:rsidRPr="008171AB">
        <w:rPr>
          <w:rFonts w:ascii="Times New Roman" w:hAnsi="Times New Roman" w:cs="Times New Roman"/>
        </w:rPr>
        <w:t xml:space="preserve">cause illness, severe anemia, neuropathy, encephalopathy, colic, or renal disease (2). </w:t>
      </w:r>
      <w:r w:rsidR="003D3ED3">
        <w:rPr>
          <w:rFonts w:ascii="Times New Roman" w:hAnsi="Times New Roman" w:cs="Times New Roman"/>
        </w:rPr>
        <w:t xml:space="preserve">People are commonly exposed to lead through ingestion or inhalation, which can </w:t>
      </w:r>
      <w:r w:rsidR="0091348E" w:rsidRPr="008171AB">
        <w:rPr>
          <w:rFonts w:ascii="Times New Roman" w:hAnsi="Times New Roman" w:cs="Times New Roman"/>
        </w:rPr>
        <w:t>also contribute to cognitive and neural deficits, hypertension, congenital malformations, immunotoxicity and growth and development deficits (2).</w:t>
      </w:r>
    </w:p>
    <w:p w14:paraId="1C6373B0" w14:textId="6B4D3679" w:rsidR="008E45FA" w:rsidRPr="008171AB" w:rsidRDefault="008E45FA" w:rsidP="008171AB">
      <w:pPr>
        <w:spacing w:line="480" w:lineRule="auto"/>
        <w:rPr>
          <w:rFonts w:ascii="Times New Roman" w:hAnsi="Times New Roman" w:cs="Times New Roman"/>
        </w:rPr>
      </w:pPr>
    </w:p>
    <w:p w14:paraId="0C2FB526" w14:textId="3E70B9BB" w:rsidR="007B1FFB" w:rsidRPr="008171AB" w:rsidRDefault="007B1FFB" w:rsidP="008171AB">
      <w:pPr>
        <w:spacing w:line="480" w:lineRule="auto"/>
        <w:rPr>
          <w:rFonts w:ascii="Times New Roman" w:hAnsi="Times New Roman" w:cs="Times New Roman"/>
        </w:rPr>
      </w:pPr>
      <w:r w:rsidRPr="008171AB">
        <w:rPr>
          <w:rFonts w:ascii="Times New Roman" w:hAnsi="Times New Roman" w:cs="Times New Roman"/>
        </w:rPr>
        <w:t>DOSE RESPONSE ASSESSMENT</w:t>
      </w:r>
    </w:p>
    <w:p w14:paraId="51C1FBE1" w14:textId="06AF811C" w:rsidR="008E45FA" w:rsidRDefault="00960D76" w:rsidP="008171AB">
      <w:pPr>
        <w:spacing w:line="480" w:lineRule="auto"/>
        <w:rPr>
          <w:rFonts w:ascii="Times New Roman" w:hAnsi="Times New Roman" w:cs="Times New Roman"/>
        </w:rPr>
      </w:pPr>
      <w:r>
        <w:rPr>
          <w:rFonts w:ascii="Times New Roman" w:hAnsi="Times New Roman" w:cs="Times New Roman"/>
        </w:rPr>
        <w:tab/>
        <w:t xml:space="preserve">One study conducted a dose response assessment of lead levels in the blood and the consequent effects (2). This study found that gastrointestinal colic, acute encephalopathy, anemia, and chronic renal disease were most common amongst those with the highest levels of lead in their blood (greater than 60 µg/dL). Those with lower lead levels in their blood had cognitive and behavioral deficits and peripheral neuropathy. While the Centers for Disease Control recommended that 25 µg/dL of lead in the blood be the “action level” in children, this </w:t>
      </w:r>
      <w:r>
        <w:rPr>
          <w:rFonts w:ascii="Times New Roman" w:hAnsi="Times New Roman" w:cs="Times New Roman"/>
        </w:rPr>
        <w:lastRenderedPageBreak/>
        <w:t xml:space="preserve">paper suggests that this level is too high. </w:t>
      </w:r>
      <w:r w:rsidR="00BF5F92">
        <w:rPr>
          <w:rFonts w:ascii="Times New Roman" w:hAnsi="Times New Roman" w:cs="Times New Roman"/>
        </w:rPr>
        <w:t>In January of 2012, the CDC changed the “blood lead level of concern” to 10 µg/dL in children (11). A reference dose for this toxin was not available.</w:t>
      </w:r>
    </w:p>
    <w:p w14:paraId="189632FF" w14:textId="5D9841A2" w:rsidR="00960D76" w:rsidRPr="008171AB" w:rsidRDefault="00960D76" w:rsidP="008171AB">
      <w:pPr>
        <w:spacing w:line="480" w:lineRule="auto"/>
        <w:rPr>
          <w:rFonts w:ascii="Times New Roman" w:hAnsi="Times New Roman" w:cs="Times New Roman"/>
        </w:rPr>
      </w:pPr>
      <w:r>
        <w:rPr>
          <w:rFonts w:ascii="Times New Roman" w:hAnsi="Times New Roman" w:cs="Times New Roman"/>
        </w:rPr>
        <w:tab/>
      </w:r>
      <w:r w:rsidR="00FD5A45">
        <w:rPr>
          <w:rFonts w:ascii="Times New Roman" w:hAnsi="Times New Roman" w:cs="Times New Roman"/>
        </w:rPr>
        <w:t xml:space="preserve">Another study examined the dose response relationship in regard to asbestos (9). For men first employed after 1950, they found a decrease in lung functioning and increase in developing conditions with greater cumulative </w:t>
      </w:r>
      <w:r w:rsidR="00896B20">
        <w:rPr>
          <w:rFonts w:ascii="Times New Roman" w:hAnsi="Times New Roman" w:cs="Times New Roman"/>
        </w:rPr>
        <w:t xml:space="preserve">inhalation </w:t>
      </w:r>
      <w:r w:rsidR="00FD5A45">
        <w:rPr>
          <w:rFonts w:ascii="Times New Roman" w:hAnsi="Times New Roman" w:cs="Times New Roman"/>
        </w:rPr>
        <w:t xml:space="preserve">exposure to asbestos. </w:t>
      </w:r>
      <w:r w:rsidR="00896B20">
        <w:rPr>
          <w:rFonts w:ascii="Times New Roman" w:hAnsi="Times New Roman" w:cs="Times New Roman"/>
        </w:rPr>
        <w:t xml:space="preserve">Due to the route of exposure in this study, the long-term doses that these men were exposed to were difficult to estimate, so numerical data was likely unreliable, but the research still emphasizes the importance of reducing dust levels. Additionally, </w:t>
      </w:r>
      <w:r w:rsidR="00FD5A45">
        <w:rPr>
          <w:rFonts w:ascii="Times New Roman" w:hAnsi="Times New Roman" w:cs="Times New Roman"/>
        </w:rPr>
        <w:t>his study only analyzed the occupational and workplace environment of men, rather than including women or the general population, so there are limitation</w:t>
      </w:r>
      <w:r w:rsidR="00896B20">
        <w:rPr>
          <w:rFonts w:ascii="Times New Roman" w:hAnsi="Times New Roman" w:cs="Times New Roman"/>
        </w:rPr>
        <w:t>s</w:t>
      </w:r>
      <w:r w:rsidR="00FD5A45">
        <w:rPr>
          <w:rFonts w:ascii="Times New Roman" w:hAnsi="Times New Roman" w:cs="Times New Roman"/>
        </w:rPr>
        <w:t xml:space="preserve"> to the generalizability of this study, but the biological effects of asbestos in men were documented (9). </w:t>
      </w:r>
      <w:r w:rsidR="00896B20">
        <w:rPr>
          <w:rFonts w:ascii="Times New Roman" w:hAnsi="Times New Roman" w:cs="Times New Roman"/>
        </w:rPr>
        <w:t>Again, a reference dose for this toxin was also not available</w:t>
      </w:r>
    </w:p>
    <w:p w14:paraId="12673179" w14:textId="05920B30" w:rsidR="008E45FA" w:rsidRPr="008171AB" w:rsidRDefault="008E45FA" w:rsidP="008171AB">
      <w:pPr>
        <w:spacing w:line="480" w:lineRule="auto"/>
        <w:rPr>
          <w:rFonts w:ascii="Times New Roman" w:hAnsi="Times New Roman" w:cs="Times New Roman"/>
        </w:rPr>
      </w:pPr>
    </w:p>
    <w:p w14:paraId="4EC3D228" w14:textId="069E1601" w:rsidR="007B1FFB" w:rsidRPr="008171AB" w:rsidRDefault="007B1FFB" w:rsidP="008171AB">
      <w:pPr>
        <w:spacing w:line="480" w:lineRule="auto"/>
        <w:rPr>
          <w:rFonts w:ascii="Times New Roman" w:hAnsi="Times New Roman" w:cs="Times New Roman"/>
        </w:rPr>
      </w:pPr>
      <w:r w:rsidRPr="008171AB">
        <w:rPr>
          <w:rFonts w:ascii="Times New Roman" w:hAnsi="Times New Roman" w:cs="Times New Roman"/>
        </w:rPr>
        <w:t>DESCRIPTION OF THE SURROUNDING COMMUNITY</w:t>
      </w:r>
    </w:p>
    <w:p w14:paraId="4DBC2EAA" w14:textId="54E0B429" w:rsidR="008E45FA" w:rsidRPr="008171AB" w:rsidRDefault="003876B2" w:rsidP="008171AB">
      <w:pPr>
        <w:spacing w:line="480" w:lineRule="auto"/>
        <w:rPr>
          <w:rFonts w:ascii="Times New Roman" w:hAnsi="Times New Roman" w:cs="Times New Roman"/>
        </w:rPr>
      </w:pPr>
      <w:r w:rsidRPr="008171AB">
        <w:rPr>
          <w:rFonts w:ascii="Times New Roman" w:hAnsi="Times New Roman" w:cs="Times New Roman"/>
        </w:rPr>
        <w:tab/>
        <w:t>The former hospital is located in the heart of the city of Houston, Texas, so there are several buildings and roads nearby</w:t>
      </w:r>
      <w:r w:rsidR="00DC33BD">
        <w:rPr>
          <w:rFonts w:ascii="Times New Roman" w:hAnsi="Times New Roman" w:cs="Times New Roman"/>
        </w:rPr>
        <w:t>,</w:t>
      </w:r>
      <w:r w:rsidRPr="008171AB">
        <w:rPr>
          <w:rFonts w:ascii="Times New Roman" w:hAnsi="Times New Roman" w:cs="Times New Roman"/>
        </w:rPr>
        <w:t xml:space="preserve"> in addition to waterways and other establishments. </w:t>
      </w:r>
      <w:r w:rsidR="00DC33BD">
        <w:rPr>
          <w:rFonts w:ascii="Times New Roman" w:hAnsi="Times New Roman" w:cs="Times New Roman"/>
        </w:rPr>
        <w:t>A large portion of the surrounding community</w:t>
      </w:r>
      <w:r w:rsidRPr="008171AB">
        <w:rPr>
          <w:rFonts w:ascii="Times New Roman" w:hAnsi="Times New Roman" w:cs="Times New Roman"/>
        </w:rPr>
        <w:t xml:space="preserve"> is low income and/or below the poverty level, with a median income of almost $16,000. Additionally, there is about a 4% unemployment rate within a three-mile radius from the lofts and</w:t>
      </w:r>
      <w:r w:rsidR="00DC33BD">
        <w:rPr>
          <w:rFonts w:ascii="Times New Roman" w:hAnsi="Times New Roman" w:cs="Times New Roman"/>
        </w:rPr>
        <w:t xml:space="preserve"> around</w:t>
      </w:r>
      <w:r w:rsidRPr="008171AB">
        <w:rPr>
          <w:rFonts w:ascii="Times New Roman" w:hAnsi="Times New Roman" w:cs="Times New Roman"/>
        </w:rPr>
        <w:t xml:space="preserve"> 15% of the area is vacant housing units</w:t>
      </w:r>
      <w:r w:rsidR="0045652D" w:rsidRPr="008171AB">
        <w:rPr>
          <w:rFonts w:ascii="Times New Roman" w:hAnsi="Times New Roman" w:cs="Times New Roman"/>
        </w:rPr>
        <w:t xml:space="preserve"> (5). </w:t>
      </w:r>
      <w:r w:rsidR="00F171DB">
        <w:rPr>
          <w:rFonts w:ascii="Times New Roman" w:hAnsi="Times New Roman" w:cs="Times New Roman"/>
        </w:rPr>
        <w:t xml:space="preserve">Houston, Texas is not far from the Gulf of Mexico, so natural disasters including hurricanes, tornadoes and flooding are common. </w:t>
      </w:r>
    </w:p>
    <w:p w14:paraId="7450FF22" w14:textId="79BED810" w:rsidR="008E45FA" w:rsidRPr="008171AB" w:rsidRDefault="008E45FA" w:rsidP="008171AB">
      <w:pPr>
        <w:spacing w:line="480" w:lineRule="auto"/>
        <w:rPr>
          <w:rFonts w:ascii="Times New Roman" w:hAnsi="Times New Roman" w:cs="Times New Roman"/>
        </w:rPr>
      </w:pPr>
    </w:p>
    <w:p w14:paraId="17C41B98" w14:textId="77777777" w:rsidR="00DC33BD" w:rsidRDefault="00DC33BD">
      <w:pPr>
        <w:rPr>
          <w:rFonts w:ascii="Times New Roman" w:hAnsi="Times New Roman" w:cs="Times New Roman"/>
        </w:rPr>
      </w:pPr>
      <w:r>
        <w:rPr>
          <w:rFonts w:ascii="Times New Roman" w:hAnsi="Times New Roman" w:cs="Times New Roman"/>
        </w:rPr>
        <w:br w:type="page"/>
      </w:r>
    </w:p>
    <w:p w14:paraId="2973C464" w14:textId="4B6C60A3" w:rsidR="007B1FFB" w:rsidRPr="008171AB" w:rsidRDefault="007B1FFB" w:rsidP="008171AB">
      <w:pPr>
        <w:spacing w:line="480" w:lineRule="auto"/>
        <w:rPr>
          <w:rFonts w:ascii="Times New Roman" w:hAnsi="Times New Roman" w:cs="Times New Roman"/>
        </w:rPr>
      </w:pPr>
      <w:r w:rsidRPr="008171AB">
        <w:rPr>
          <w:rFonts w:ascii="Times New Roman" w:hAnsi="Times New Roman" w:cs="Times New Roman"/>
        </w:rPr>
        <w:lastRenderedPageBreak/>
        <w:t>ASSESSMENT OF THE RISKS FOR EXPOSURE TO THE SURROUNDING COMMUNITY</w:t>
      </w:r>
    </w:p>
    <w:p w14:paraId="2B60EC21" w14:textId="33BB5CC8" w:rsidR="00211C77" w:rsidRPr="008171AB" w:rsidRDefault="00211C77" w:rsidP="008171AB">
      <w:pPr>
        <w:spacing w:line="480" w:lineRule="auto"/>
        <w:rPr>
          <w:rFonts w:ascii="Times New Roman" w:hAnsi="Times New Roman" w:cs="Times New Roman"/>
        </w:rPr>
      </w:pPr>
      <w:r w:rsidRPr="008171AB">
        <w:rPr>
          <w:rFonts w:ascii="Times New Roman" w:hAnsi="Times New Roman" w:cs="Times New Roman"/>
        </w:rPr>
        <w:tab/>
        <w:t>Major sources of lead exposure are drinking water, paint and gasoline (1). Because this area has a significant portion of low-income residents and 15% of the area is vacant housing units, lead is probably most likely to be found in paint that has not been cleaned up yet. This will most likely affect children the most, as they like to explore objects and put things in their mouths</w:t>
      </w:r>
      <w:r w:rsidR="00EE57AD" w:rsidRPr="008171AB">
        <w:rPr>
          <w:rFonts w:ascii="Times New Roman" w:hAnsi="Times New Roman" w:cs="Times New Roman"/>
        </w:rPr>
        <w:t xml:space="preserve"> (increased oral and dermal exposure)</w:t>
      </w:r>
      <w:r w:rsidRPr="008171AB">
        <w:rPr>
          <w:rFonts w:ascii="Times New Roman" w:hAnsi="Times New Roman" w:cs="Times New Roman"/>
        </w:rPr>
        <w:t xml:space="preserve">, and lead can have detrimental effects on child development. </w:t>
      </w:r>
      <w:r w:rsidR="00DC33BD">
        <w:rPr>
          <w:rFonts w:ascii="Times New Roman" w:hAnsi="Times New Roman" w:cs="Times New Roman"/>
        </w:rPr>
        <w:t>Furthermore</w:t>
      </w:r>
      <w:r w:rsidRPr="008171AB">
        <w:rPr>
          <w:rFonts w:ascii="Times New Roman" w:hAnsi="Times New Roman" w:cs="Times New Roman"/>
        </w:rPr>
        <w:t xml:space="preserve">, children also have a high frequency of pica and a high rate of intestinal absorption and retention, which can </w:t>
      </w:r>
      <w:r w:rsidR="00DC33BD">
        <w:rPr>
          <w:rFonts w:ascii="Times New Roman" w:hAnsi="Times New Roman" w:cs="Times New Roman"/>
        </w:rPr>
        <w:t xml:space="preserve">consequently </w:t>
      </w:r>
      <w:r w:rsidRPr="008171AB">
        <w:rPr>
          <w:rFonts w:ascii="Times New Roman" w:hAnsi="Times New Roman" w:cs="Times New Roman"/>
        </w:rPr>
        <w:t xml:space="preserve">lead to harmful effects on red blood cell production, kidneys and the central nervous system (1). </w:t>
      </w:r>
      <w:r w:rsidR="00BC2E93" w:rsidRPr="008171AB">
        <w:rPr>
          <w:rFonts w:ascii="Times New Roman" w:hAnsi="Times New Roman" w:cs="Times New Roman"/>
        </w:rPr>
        <w:t xml:space="preserve">The large portion of vacant housing indicates that they are most likely not properly cleaned up due to insufficient funding or motivation in this low-income area, which could </w:t>
      </w:r>
      <w:r w:rsidR="00DC33BD">
        <w:rPr>
          <w:rFonts w:ascii="Times New Roman" w:hAnsi="Times New Roman" w:cs="Times New Roman"/>
        </w:rPr>
        <w:t xml:space="preserve">also </w:t>
      </w:r>
      <w:r w:rsidR="00BC2E93" w:rsidRPr="008171AB">
        <w:rPr>
          <w:rFonts w:ascii="Times New Roman" w:hAnsi="Times New Roman" w:cs="Times New Roman"/>
        </w:rPr>
        <w:t>potentially signify environmental injustice if residents find high levels of lead in drinking water</w:t>
      </w:r>
      <w:r w:rsidR="00DC33BD">
        <w:rPr>
          <w:rFonts w:ascii="Times New Roman" w:hAnsi="Times New Roman" w:cs="Times New Roman"/>
        </w:rPr>
        <w:t xml:space="preserve">, </w:t>
      </w:r>
      <w:r w:rsidR="009D0879" w:rsidRPr="008171AB">
        <w:rPr>
          <w:rFonts w:ascii="Times New Roman" w:hAnsi="Times New Roman" w:cs="Times New Roman"/>
        </w:rPr>
        <w:t>food and beverages (2). Lead also lowers the pH of water, which contributes to acid rai</w:t>
      </w:r>
      <w:r w:rsidR="00DC33BD">
        <w:rPr>
          <w:rFonts w:ascii="Times New Roman" w:hAnsi="Times New Roman" w:cs="Times New Roman"/>
        </w:rPr>
        <w:t>n</w:t>
      </w:r>
      <w:r w:rsidR="009D0879" w:rsidRPr="008171AB">
        <w:rPr>
          <w:rFonts w:ascii="Times New Roman" w:hAnsi="Times New Roman" w:cs="Times New Roman"/>
        </w:rPr>
        <w:t xml:space="preserve"> and increased human exposure to this toxin (2</w:t>
      </w:r>
      <w:r w:rsidR="0091348E" w:rsidRPr="008171AB">
        <w:rPr>
          <w:rFonts w:ascii="Times New Roman" w:hAnsi="Times New Roman" w:cs="Times New Roman"/>
        </w:rPr>
        <w:t>). Previous efforts to reduce lead exposure have only been targeted in the occupational environment, rather than the general population as a whole.</w:t>
      </w:r>
    </w:p>
    <w:p w14:paraId="3A22A7E7" w14:textId="44CD93CE" w:rsidR="008E45FA" w:rsidRPr="008171AB" w:rsidRDefault="008A7F85" w:rsidP="008171AB">
      <w:pPr>
        <w:spacing w:line="480" w:lineRule="auto"/>
        <w:rPr>
          <w:rFonts w:ascii="Times New Roman" w:hAnsi="Times New Roman" w:cs="Times New Roman"/>
        </w:rPr>
      </w:pPr>
      <w:r w:rsidRPr="008171AB">
        <w:rPr>
          <w:rFonts w:ascii="Times New Roman" w:hAnsi="Times New Roman" w:cs="Times New Roman"/>
        </w:rPr>
        <w:tab/>
        <w:t>Petroleum products are often brightly colored and not stored in labelled containers, so children are again more likely to be exposed to petroleum products. Additionally, a significant amount of poisoning happens in preschoolers (3). Despite regulations reducing exposure to these toxins, those with the greatest risk of exposure are children (ingestion and dermal</w:t>
      </w:r>
      <w:r w:rsidR="00DC33BD">
        <w:rPr>
          <w:rFonts w:ascii="Times New Roman" w:hAnsi="Times New Roman" w:cs="Times New Roman"/>
        </w:rPr>
        <w:t xml:space="preserve"> exposure</w:t>
      </w:r>
      <w:r w:rsidRPr="008171AB">
        <w:rPr>
          <w:rFonts w:ascii="Times New Roman" w:hAnsi="Times New Roman" w:cs="Times New Roman"/>
        </w:rPr>
        <w:t>) and those working with storage tanks containing fuels (</w:t>
      </w:r>
      <w:r w:rsidR="00DC33BD">
        <w:rPr>
          <w:rFonts w:ascii="Times New Roman" w:hAnsi="Times New Roman" w:cs="Times New Roman"/>
        </w:rPr>
        <w:t>inhalation and dermal exposure</w:t>
      </w:r>
      <w:r w:rsidRPr="008171AB">
        <w:rPr>
          <w:rFonts w:ascii="Times New Roman" w:hAnsi="Times New Roman" w:cs="Times New Roman"/>
        </w:rPr>
        <w:t>).</w:t>
      </w:r>
      <w:r w:rsidR="00DA6111" w:rsidRPr="008171AB">
        <w:rPr>
          <w:rFonts w:ascii="Times New Roman" w:hAnsi="Times New Roman" w:cs="Times New Roman"/>
        </w:rPr>
        <w:t xml:space="preserve"> Regulations regarding the maintenance and handling of these products are gradually being put in place </w:t>
      </w:r>
      <w:r w:rsidR="0086332D">
        <w:rPr>
          <w:rFonts w:ascii="Times New Roman" w:hAnsi="Times New Roman" w:cs="Times New Roman"/>
        </w:rPr>
        <w:t xml:space="preserve">in order </w:t>
      </w:r>
      <w:r w:rsidR="00DA6111" w:rsidRPr="008171AB">
        <w:rPr>
          <w:rFonts w:ascii="Times New Roman" w:hAnsi="Times New Roman" w:cs="Times New Roman"/>
        </w:rPr>
        <w:t xml:space="preserve">to reduce exposure. </w:t>
      </w:r>
    </w:p>
    <w:p w14:paraId="2827923A" w14:textId="77777777" w:rsidR="0086332D" w:rsidRDefault="0086332D" w:rsidP="008171AB">
      <w:pPr>
        <w:spacing w:line="480" w:lineRule="auto"/>
        <w:rPr>
          <w:rFonts w:ascii="Times New Roman" w:hAnsi="Times New Roman" w:cs="Times New Roman"/>
        </w:rPr>
      </w:pPr>
    </w:p>
    <w:p w14:paraId="232BCD65" w14:textId="371B2A03" w:rsidR="007B1FFB" w:rsidRPr="008171AB" w:rsidRDefault="007B1FFB" w:rsidP="008171AB">
      <w:pPr>
        <w:spacing w:line="480" w:lineRule="auto"/>
        <w:rPr>
          <w:rFonts w:ascii="Times New Roman" w:hAnsi="Times New Roman" w:cs="Times New Roman"/>
        </w:rPr>
      </w:pPr>
      <w:r w:rsidRPr="008171AB">
        <w:rPr>
          <w:rFonts w:ascii="Times New Roman" w:hAnsi="Times New Roman" w:cs="Times New Roman"/>
        </w:rPr>
        <w:lastRenderedPageBreak/>
        <w:t>PROPOSED ACTION PLAN TO RE-CLAIM THE SITE</w:t>
      </w:r>
    </w:p>
    <w:p w14:paraId="79B3C0D9" w14:textId="77EF9F19" w:rsidR="009E3E01" w:rsidRDefault="00DA6111" w:rsidP="009E3E01">
      <w:pPr>
        <w:spacing w:line="480" w:lineRule="auto"/>
        <w:rPr>
          <w:rFonts w:ascii="Times New Roman" w:hAnsi="Times New Roman" w:cs="Times New Roman"/>
        </w:rPr>
      </w:pPr>
      <w:r w:rsidRPr="008171AB">
        <w:rPr>
          <w:rFonts w:ascii="Times New Roman" w:hAnsi="Times New Roman" w:cs="Times New Roman"/>
        </w:rPr>
        <w:tab/>
        <w:t xml:space="preserve">A major problem in this area is the almost 12,000 vacant housing units within three miles of this current loft building. In order to address this issue, new buildings and businesses could be established in place of these abandoned buildings, also bringing in jobs to hopefully raise the unemployment rate in the area and consequently the number of residents below the poverty level as well. </w:t>
      </w:r>
      <w:r w:rsidR="001A646E">
        <w:rPr>
          <w:rFonts w:ascii="Times New Roman" w:hAnsi="Times New Roman" w:cs="Times New Roman"/>
        </w:rPr>
        <w:t xml:space="preserve">Figures 1 and 2 illustrate the difference following renovation of the vacant building which turned the abandoned hospital into a residential building. </w:t>
      </w:r>
      <w:r w:rsidR="00576F77">
        <w:rPr>
          <w:rFonts w:ascii="Times New Roman" w:hAnsi="Times New Roman" w:cs="Times New Roman"/>
        </w:rPr>
        <w:t xml:space="preserve">Also, because natural disasters are common and </w:t>
      </w:r>
      <w:r w:rsidR="009D45EA">
        <w:rPr>
          <w:rFonts w:ascii="Times New Roman" w:hAnsi="Times New Roman" w:cs="Times New Roman"/>
        </w:rPr>
        <w:t xml:space="preserve">especially hurt low-income areas, re-development efforts need to take that into account in order to help the city and its residents (10). </w:t>
      </w:r>
      <w:r w:rsidRPr="008171AB">
        <w:rPr>
          <w:rFonts w:ascii="Times New Roman" w:hAnsi="Times New Roman" w:cs="Times New Roman"/>
        </w:rPr>
        <w:t>After re-development</w:t>
      </w:r>
      <w:r w:rsidR="001A646E">
        <w:rPr>
          <w:rFonts w:ascii="Times New Roman" w:hAnsi="Times New Roman" w:cs="Times New Roman"/>
        </w:rPr>
        <w:t xml:space="preserve"> of several establishments in the area</w:t>
      </w:r>
      <w:r w:rsidRPr="008171AB">
        <w:rPr>
          <w:rFonts w:ascii="Times New Roman" w:hAnsi="Times New Roman" w:cs="Times New Roman"/>
        </w:rPr>
        <w:t xml:space="preserve">, </w:t>
      </w:r>
      <w:r w:rsidR="009E3E01">
        <w:rPr>
          <w:rFonts w:ascii="Times New Roman" w:hAnsi="Times New Roman" w:cs="Times New Roman"/>
        </w:rPr>
        <w:t>the</w:t>
      </w:r>
      <w:r w:rsidRPr="008171AB">
        <w:rPr>
          <w:rFonts w:ascii="Times New Roman" w:hAnsi="Times New Roman" w:cs="Times New Roman"/>
        </w:rPr>
        <w:t xml:space="preserve"> average income and number of people below the poverty line</w:t>
      </w:r>
      <w:r w:rsidR="009E3E01">
        <w:rPr>
          <w:rFonts w:ascii="Times New Roman" w:hAnsi="Times New Roman" w:cs="Times New Roman"/>
        </w:rPr>
        <w:t xml:space="preserve"> was examined in addition to</w:t>
      </w:r>
      <w:r w:rsidRPr="008171AB">
        <w:rPr>
          <w:rFonts w:ascii="Times New Roman" w:hAnsi="Times New Roman" w:cs="Times New Roman"/>
        </w:rPr>
        <w:t xml:space="preserve"> the unemployment rate</w:t>
      </w:r>
      <w:r w:rsidR="009E3E01">
        <w:rPr>
          <w:rFonts w:ascii="Times New Roman" w:hAnsi="Times New Roman" w:cs="Times New Roman"/>
        </w:rPr>
        <w:t xml:space="preserve"> in order </w:t>
      </w:r>
      <w:r w:rsidRPr="008171AB">
        <w:rPr>
          <w:rFonts w:ascii="Times New Roman" w:hAnsi="Times New Roman" w:cs="Times New Roman"/>
        </w:rPr>
        <w:t xml:space="preserve">to see if businesses and jobs </w:t>
      </w:r>
      <w:r w:rsidR="009E3E01">
        <w:rPr>
          <w:rFonts w:ascii="Times New Roman" w:hAnsi="Times New Roman" w:cs="Times New Roman"/>
        </w:rPr>
        <w:t>had been</w:t>
      </w:r>
      <w:r w:rsidRPr="008171AB">
        <w:rPr>
          <w:rFonts w:ascii="Times New Roman" w:hAnsi="Times New Roman" w:cs="Times New Roman"/>
        </w:rPr>
        <w:t xml:space="preserve"> created</w:t>
      </w:r>
      <w:r w:rsidR="0091348E" w:rsidRPr="008171AB">
        <w:rPr>
          <w:rFonts w:ascii="Times New Roman" w:hAnsi="Times New Roman" w:cs="Times New Roman"/>
        </w:rPr>
        <w:t xml:space="preserve"> (8). </w:t>
      </w:r>
    </w:p>
    <w:p w14:paraId="2DD91DAC" w14:textId="77777777" w:rsidR="009E3E01" w:rsidRDefault="009E3E01">
      <w:pPr>
        <w:rPr>
          <w:rFonts w:ascii="Times New Roman" w:hAnsi="Times New Roman" w:cs="Times New Roman"/>
        </w:rPr>
      </w:pPr>
      <w:r>
        <w:rPr>
          <w:rFonts w:ascii="Times New Roman" w:hAnsi="Times New Roman" w:cs="Times New Roman"/>
        </w:rPr>
        <w:br w:type="page"/>
      </w:r>
    </w:p>
    <w:p w14:paraId="7F9195BF" w14:textId="3C8DFABE" w:rsidR="007B1FFB" w:rsidRPr="007B1FFB" w:rsidRDefault="007B1FFB" w:rsidP="008E45FA">
      <w:pPr>
        <w:rPr>
          <w:rFonts w:ascii="Times New Roman" w:hAnsi="Times New Roman" w:cs="Times New Roman"/>
        </w:rPr>
      </w:pPr>
      <w:r>
        <w:rPr>
          <w:rFonts w:ascii="Times New Roman" w:hAnsi="Times New Roman" w:cs="Times New Roman"/>
        </w:rPr>
        <w:lastRenderedPageBreak/>
        <w:t>FIGURES AND TABLES</w:t>
      </w:r>
    </w:p>
    <w:p w14:paraId="2FC06E0D" w14:textId="110701C6" w:rsidR="007B1FFB" w:rsidRPr="007B1FFB" w:rsidRDefault="007B1FFB" w:rsidP="007B1FFB">
      <w:pPr>
        <w:rPr>
          <w:rFonts w:ascii="Times New Roman" w:hAnsi="Times New Roman" w:cs="Times New Roman"/>
        </w:rPr>
      </w:pPr>
      <w:r w:rsidRPr="007B1FFB">
        <w:rPr>
          <w:rFonts w:ascii="Times New Roman" w:hAnsi="Times New Roman" w:cs="Times New Roman"/>
          <w:b/>
          <w:bCs/>
          <w:noProof/>
        </w:rPr>
        <w:drawing>
          <wp:anchor distT="0" distB="0" distL="114300" distR="114300" simplePos="0" relativeHeight="251660288" behindDoc="0" locked="0" layoutInCell="1" allowOverlap="1" wp14:anchorId="5B493761" wp14:editId="22DE6B44">
            <wp:simplePos x="0" y="0"/>
            <wp:positionH relativeFrom="margin">
              <wp:align>center</wp:align>
            </wp:positionH>
            <wp:positionV relativeFrom="paragraph">
              <wp:posOffset>0</wp:posOffset>
            </wp:positionV>
            <wp:extent cx="4069582" cy="2441749"/>
            <wp:effectExtent l="0" t="0" r="0" b="0"/>
            <wp:wrapTopAndBottom/>
            <wp:docPr id="2" name="Picture 2" descr="A large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fferson_Davis_Hospital_pre-renovation.jpg"/>
                    <pic:cNvPicPr/>
                  </pic:nvPicPr>
                  <pic:blipFill>
                    <a:blip r:embed="rId6">
                      <a:extLst>
                        <a:ext uri="{28A0092B-C50C-407E-A947-70E740481C1C}">
                          <a14:useLocalDpi xmlns:a14="http://schemas.microsoft.com/office/drawing/2010/main" val="0"/>
                        </a:ext>
                      </a:extLst>
                    </a:blip>
                    <a:stretch>
                      <a:fillRect/>
                    </a:stretch>
                  </pic:blipFill>
                  <pic:spPr>
                    <a:xfrm>
                      <a:off x="0" y="0"/>
                      <a:ext cx="4069582" cy="2441749"/>
                    </a:xfrm>
                    <a:prstGeom prst="rect">
                      <a:avLst/>
                    </a:prstGeom>
                  </pic:spPr>
                </pic:pic>
              </a:graphicData>
            </a:graphic>
            <wp14:sizeRelH relativeFrom="page">
              <wp14:pctWidth>0</wp14:pctWidth>
            </wp14:sizeRelH>
            <wp14:sizeRelV relativeFrom="page">
              <wp14:pctHeight>0</wp14:pctHeight>
            </wp14:sizeRelV>
          </wp:anchor>
        </w:drawing>
      </w:r>
      <w:r w:rsidRPr="007B1FFB">
        <w:rPr>
          <w:rFonts w:ascii="Times New Roman" w:hAnsi="Times New Roman" w:cs="Times New Roman"/>
          <w:b/>
          <w:bCs/>
        </w:rPr>
        <w:t>Figure 1</w:t>
      </w:r>
      <w:r w:rsidRPr="007B1FFB">
        <w:rPr>
          <w:rFonts w:ascii="Times New Roman" w:hAnsi="Times New Roman" w:cs="Times New Roman"/>
        </w:rPr>
        <w:t xml:space="preserve">. This picture was photographed </w:t>
      </w:r>
      <w:bookmarkStart w:id="0" w:name="_GoBack"/>
      <w:bookmarkEnd w:id="0"/>
      <w:r w:rsidRPr="007B1FFB">
        <w:rPr>
          <w:rFonts w:ascii="Times New Roman" w:hAnsi="Times New Roman" w:cs="Times New Roman"/>
        </w:rPr>
        <w:t xml:space="preserve">while abandoned and vacant before renovation took place starting in 2003. The building itself was falling apart, full of trash and old hospital supplies, and was commonly broken into in search for paranormal activity </w:t>
      </w:r>
      <w:r w:rsidR="00DA6111">
        <w:rPr>
          <w:rFonts w:ascii="Times New Roman" w:hAnsi="Times New Roman" w:cs="Times New Roman"/>
        </w:rPr>
        <w:t xml:space="preserve">(6). </w:t>
      </w:r>
    </w:p>
    <w:p w14:paraId="044ABC46" w14:textId="77777777" w:rsidR="007B1FFB" w:rsidRPr="007B1FFB" w:rsidRDefault="007B1FFB" w:rsidP="007B1FFB">
      <w:pPr>
        <w:rPr>
          <w:rFonts w:ascii="Times New Roman" w:hAnsi="Times New Roman" w:cs="Times New Roman"/>
          <w:b/>
          <w:bCs/>
        </w:rPr>
      </w:pPr>
    </w:p>
    <w:p w14:paraId="04853C60" w14:textId="501C0B6D" w:rsidR="0045652D" w:rsidRDefault="007B1FFB">
      <w:pPr>
        <w:rPr>
          <w:rFonts w:ascii="Times New Roman" w:hAnsi="Times New Roman" w:cs="Times New Roman"/>
        </w:rPr>
      </w:pPr>
      <w:r w:rsidRPr="007B1FFB">
        <w:rPr>
          <w:rFonts w:ascii="Times New Roman" w:hAnsi="Times New Roman" w:cs="Times New Roman"/>
          <w:b/>
          <w:bCs/>
          <w:noProof/>
        </w:rPr>
        <w:drawing>
          <wp:anchor distT="0" distB="0" distL="114300" distR="114300" simplePos="0" relativeHeight="251659264" behindDoc="0" locked="0" layoutInCell="1" allowOverlap="1" wp14:anchorId="49C5E02D" wp14:editId="4735FB55">
            <wp:simplePos x="0" y="0"/>
            <wp:positionH relativeFrom="margin">
              <wp:align>center</wp:align>
            </wp:positionH>
            <wp:positionV relativeFrom="paragraph">
              <wp:posOffset>90</wp:posOffset>
            </wp:positionV>
            <wp:extent cx="4280598" cy="2853732"/>
            <wp:effectExtent l="0" t="0" r="0" b="3810"/>
            <wp:wrapTopAndBottom/>
            <wp:docPr id="1" name="Picture 1" descr="A close up of a street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fferson_Davis_Hospital_(HD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0598" cy="2853732"/>
                    </a:xfrm>
                    <a:prstGeom prst="rect">
                      <a:avLst/>
                    </a:prstGeom>
                  </pic:spPr>
                </pic:pic>
              </a:graphicData>
            </a:graphic>
            <wp14:sizeRelH relativeFrom="page">
              <wp14:pctWidth>0</wp14:pctWidth>
            </wp14:sizeRelH>
            <wp14:sizeRelV relativeFrom="page">
              <wp14:pctHeight>0</wp14:pctHeight>
            </wp14:sizeRelV>
          </wp:anchor>
        </w:drawing>
      </w:r>
      <w:r w:rsidRPr="007B1FFB">
        <w:rPr>
          <w:rFonts w:ascii="Times New Roman" w:hAnsi="Times New Roman" w:cs="Times New Roman"/>
          <w:b/>
          <w:bCs/>
        </w:rPr>
        <w:t>Figure 2.</w:t>
      </w:r>
      <w:r w:rsidRPr="007B1FFB">
        <w:rPr>
          <w:rFonts w:ascii="Times New Roman" w:hAnsi="Times New Roman" w:cs="Times New Roman"/>
        </w:rPr>
        <w:t xml:space="preserve"> This picture was photographed in 2010 of the Old Jefferson Davis Hospital in Houston, Texas while being utilized as an apartment building for the Elder Street Artist Lofts</w:t>
      </w:r>
      <w:r w:rsidR="00DA6111">
        <w:rPr>
          <w:rFonts w:ascii="Times New Roman" w:hAnsi="Times New Roman" w:cs="Times New Roman"/>
        </w:rPr>
        <w:t xml:space="preserve"> (7).</w:t>
      </w:r>
      <w:r w:rsidRPr="007B1FFB">
        <w:rPr>
          <w:rFonts w:ascii="Times New Roman" w:hAnsi="Times New Roman" w:cs="Times New Roman"/>
        </w:rPr>
        <w:t xml:space="preserve"> </w:t>
      </w:r>
    </w:p>
    <w:p w14:paraId="5EEF3614" w14:textId="77777777" w:rsidR="00300584" w:rsidRPr="00300584" w:rsidRDefault="00300584">
      <w:pPr>
        <w:rPr>
          <w:rFonts w:ascii="Times New Roman" w:hAnsi="Times New Roman" w:cs="Times New Roman"/>
        </w:rPr>
      </w:pPr>
    </w:p>
    <w:p w14:paraId="156C66C0" w14:textId="77777777" w:rsidR="0048490B" w:rsidRDefault="0048490B">
      <w:pPr>
        <w:rPr>
          <w:rFonts w:ascii="Times New Roman" w:hAnsi="Times New Roman" w:cs="Times New Roman"/>
          <w:b/>
          <w:bCs/>
        </w:rPr>
      </w:pPr>
      <w:r>
        <w:rPr>
          <w:rFonts w:ascii="Times New Roman" w:hAnsi="Times New Roman" w:cs="Times New Roman"/>
          <w:b/>
          <w:bCs/>
        </w:rPr>
        <w:br w:type="page"/>
      </w:r>
    </w:p>
    <w:p w14:paraId="7099A50F" w14:textId="7B876CF8" w:rsidR="00DA6111" w:rsidRDefault="00DA6111" w:rsidP="007B1FFB">
      <w:pPr>
        <w:rPr>
          <w:rFonts w:ascii="Times New Roman" w:hAnsi="Times New Roman" w:cs="Times New Roman"/>
        </w:rPr>
      </w:pPr>
      <w:r>
        <w:rPr>
          <w:rFonts w:ascii="Times New Roman" w:hAnsi="Times New Roman" w:cs="Times New Roman"/>
          <w:b/>
          <w:bCs/>
        </w:rPr>
        <w:lastRenderedPageBreak/>
        <w:t xml:space="preserve">Table 1. </w:t>
      </w:r>
      <w:r>
        <w:rPr>
          <w:rFonts w:ascii="Times New Roman" w:hAnsi="Times New Roman" w:cs="Times New Roman"/>
        </w:rPr>
        <w:t>Population characteristic</w:t>
      </w:r>
      <w:r w:rsidR="00960D76">
        <w:rPr>
          <w:rFonts w:ascii="Times New Roman" w:hAnsi="Times New Roman" w:cs="Times New Roman"/>
        </w:rPr>
        <w:t>s</w:t>
      </w:r>
      <w:r>
        <w:rPr>
          <w:rFonts w:ascii="Times New Roman" w:hAnsi="Times New Roman" w:cs="Times New Roman"/>
        </w:rPr>
        <w:t xml:space="preserve"> within a three-mile radius</w:t>
      </w:r>
      <w:r w:rsidR="00960D76">
        <w:rPr>
          <w:rFonts w:ascii="Times New Roman" w:hAnsi="Times New Roman" w:cs="Times New Roman"/>
        </w:rPr>
        <w:t xml:space="preserve"> as determined by the census</w:t>
      </w:r>
      <w:r>
        <w:rPr>
          <w:rFonts w:ascii="Times New Roman" w:hAnsi="Times New Roman" w:cs="Times New Roman"/>
        </w:rPr>
        <w:t xml:space="preserve"> (5). </w:t>
      </w:r>
    </w:p>
    <w:tbl>
      <w:tblPr>
        <w:tblStyle w:val="TableGrid"/>
        <w:tblW w:w="0" w:type="auto"/>
        <w:tblLook w:val="04A0" w:firstRow="1" w:lastRow="0" w:firstColumn="1" w:lastColumn="0" w:noHBand="0" w:noVBand="1"/>
      </w:tblPr>
      <w:tblGrid>
        <w:gridCol w:w="4675"/>
        <w:gridCol w:w="4675"/>
      </w:tblGrid>
      <w:tr w:rsidR="0045652D" w14:paraId="23A2934D" w14:textId="77777777" w:rsidTr="0045652D">
        <w:tc>
          <w:tcPr>
            <w:tcW w:w="4675" w:type="dxa"/>
          </w:tcPr>
          <w:p w14:paraId="26B595E7" w14:textId="55EE7138" w:rsidR="0045652D" w:rsidRPr="0045652D" w:rsidRDefault="0045652D" w:rsidP="007B1FFB">
            <w:pPr>
              <w:rPr>
                <w:rFonts w:ascii="Times New Roman" w:hAnsi="Times New Roman" w:cs="Times New Roman"/>
                <w:b/>
                <w:bCs/>
              </w:rPr>
            </w:pPr>
            <w:r w:rsidRPr="0045652D">
              <w:rPr>
                <w:rFonts w:ascii="Times New Roman" w:hAnsi="Times New Roman" w:cs="Times New Roman"/>
                <w:b/>
                <w:bCs/>
              </w:rPr>
              <w:t>Population characteristic</w:t>
            </w:r>
          </w:p>
        </w:tc>
        <w:tc>
          <w:tcPr>
            <w:tcW w:w="4675" w:type="dxa"/>
          </w:tcPr>
          <w:p w14:paraId="1F448B59" w14:textId="1D546DAD" w:rsidR="0045652D" w:rsidRPr="0045652D" w:rsidRDefault="0045652D" w:rsidP="007B1FFB">
            <w:pPr>
              <w:rPr>
                <w:rFonts w:ascii="Times New Roman" w:hAnsi="Times New Roman" w:cs="Times New Roman"/>
                <w:b/>
                <w:bCs/>
              </w:rPr>
            </w:pPr>
            <w:r w:rsidRPr="0045652D">
              <w:rPr>
                <w:rFonts w:ascii="Times New Roman" w:hAnsi="Times New Roman" w:cs="Times New Roman"/>
                <w:b/>
                <w:bCs/>
              </w:rPr>
              <w:t>Data</w:t>
            </w:r>
          </w:p>
        </w:tc>
      </w:tr>
      <w:tr w:rsidR="0045652D" w14:paraId="47947C08" w14:textId="77777777" w:rsidTr="0045652D">
        <w:tc>
          <w:tcPr>
            <w:tcW w:w="4675" w:type="dxa"/>
          </w:tcPr>
          <w:p w14:paraId="2EF9ACC4" w14:textId="19B7840D" w:rsidR="0045652D" w:rsidRDefault="0045652D" w:rsidP="007B1FFB">
            <w:pPr>
              <w:rPr>
                <w:rFonts w:ascii="Times New Roman" w:hAnsi="Times New Roman" w:cs="Times New Roman"/>
              </w:rPr>
            </w:pPr>
            <w:r>
              <w:rPr>
                <w:rFonts w:ascii="Times New Roman" w:hAnsi="Times New Roman" w:cs="Times New Roman"/>
              </w:rPr>
              <w:t># of Low Income</w:t>
            </w:r>
          </w:p>
        </w:tc>
        <w:tc>
          <w:tcPr>
            <w:tcW w:w="4675" w:type="dxa"/>
          </w:tcPr>
          <w:p w14:paraId="3B65B318" w14:textId="2F4FAEC5" w:rsidR="0045652D" w:rsidRDefault="0045652D" w:rsidP="007B1FFB">
            <w:pPr>
              <w:rPr>
                <w:rFonts w:ascii="Times New Roman" w:hAnsi="Times New Roman" w:cs="Times New Roman"/>
              </w:rPr>
            </w:pPr>
            <w:r>
              <w:rPr>
                <w:rFonts w:ascii="Times New Roman" w:hAnsi="Times New Roman" w:cs="Times New Roman"/>
              </w:rPr>
              <w:t>61,302</w:t>
            </w:r>
          </w:p>
        </w:tc>
      </w:tr>
      <w:tr w:rsidR="0045652D" w14:paraId="0CBEAA16" w14:textId="77777777" w:rsidTr="0045652D">
        <w:tc>
          <w:tcPr>
            <w:tcW w:w="4675" w:type="dxa"/>
          </w:tcPr>
          <w:p w14:paraId="2667105B" w14:textId="2335D572" w:rsidR="0045652D" w:rsidRDefault="0045652D" w:rsidP="007B1FFB">
            <w:pPr>
              <w:rPr>
                <w:rFonts w:ascii="Times New Roman" w:hAnsi="Times New Roman" w:cs="Times New Roman"/>
              </w:rPr>
            </w:pPr>
            <w:r>
              <w:rPr>
                <w:rFonts w:ascii="Times New Roman" w:hAnsi="Times New Roman" w:cs="Times New Roman"/>
              </w:rPr>
              <w:t>% of Low Income</w:t>
            </w:r>
          </w:p>
        </w:tc>
        <w:tc>
          <w:tcPr>
            <w:tcW w:w="4675" w:type="dxa"/>
          </w:tcPr>
          <w:p w14:paraId="5AEB378B" w14:textId="65547FDB" w:rsidR="0045652D" w:rsidRDefault="0045652D" w:rsidP="007B1FFB">
            <w:pPr>
              <w:rPr>
                <w:rFonts w:ascii="Times New Roman" w:hAnsi="Times New Roman" w:cs="Times New Roman"/>
              </w:rPr>
            </w:pPr>
            <w:r>
              <w:rPr>
                <w:rFonts w:ascii="Times New Roman" w:hAnsi="Times New Roman" w:cs="Times New Roman"/>
              </w:rPr>
              <w:t>39.57%</w:t>
            </w:r>
          </w:p>
        </w:tc>
      </w:tr>
      <w:tr w:rsidR="0045652D" w14:paraId="450EDC4F" w14:textId="77777777" w:rsidTr="0045652D">
        <w:tc>
          <w:tcPr>
            <w:tcW w:w="4675" w:type="dxa"/>
          </w:tcPr>
          <w:p w14:paraId="098FD8A0" w14:textId="75D861DF" w:rsidR="0045652D" w:rsidRDefault="0045652D" w:rsidP="007B1FFB">
            <w:pPr>
              <w:rPr>
                <w:rFonts w:ascii="Times New Roman" w:hAnsi="Times New Roman" w:cs="Times New Roman"/>
              </w:rPr>
            </w:pPr>
            <w:r>
              <w:rPr>
                <w:rFonts w:ascii="Times New Roman" w:hAnsi="Times New Roman" w:cs="Times New Roman"/>
              </w:rPr>
              <w:t># Below Poverty Level</w:t>
            </w:r>
          </w:p>
        </w:tc>
        <w:tc>
          <w:tcPr>
            <w:tcW w:w="4675" w:type="dxa"/>
          </w:tcPr>
          <w:p w14:paraId="6E76224D" w14:textId="749D5BD4" w:rsidR="0045652D" w:rsidRDefault="0045652D" w:rsidP="007B1FFB">
            <w:pPr>
              <w:rPr>
                <w:rFonts w:ascii="Times New Roman" w:hAnsi="Times New Roman" w:cs="Times New Roman"/>
              </w:rPr>
            </w:pPr>
            <w:r>
              <w:rPr>
                <w:rFonts w:ascii="Times New Roman" w:hAnsi="Times New Roman" w:cs="Times New Roman"/>
              </w:rPr>
              <w:t>34,248</w:t>
            </w:r>
          </w:p>
        </w:tc>
      </w:tr>
      <w:tr w:rsidR="0045652D" w14:paraId="0111C6F9" w14:textId="77777777" w:rsidTr="0045652D">
        <w:tc>
          <w:tcPr>
            <w:tcW w:w="4675" w:type="dxa"/>
          </w:tcPr>
          <w:p w14:paraId="662691BF" w14:textId="25FDE54F" w:rsidR="0045652D" w:rsidRDefault="0045652D" w:rsidP="007B1FFB">
            <w:pPr>
              <w:rPr>
                <w:rFonts w:ascii="Times New Roman" w:hAnsi="Times New Roman" w:cs="Times New Roman"/>
              </w:rPr>
            </w:pPr>
            <w:r>
              <w:rPr>
                <w:rFonts w:ascii="Times New Roman" w:hAnsi="Times New Roman" w:cs="Times New Roman"/>
              </w:rPr>
              <w:t>% Below Poverty Level</w:t>
            </w:r>
          </w:p>
        </w:tc>
        <w:tc>
          <w:tcPr>
            <w:tcW w:w="4675" w:type="dxa"/>
          </w:tcPr>
          <w:p w14:paraId="70B23E6D" w14:textId="6DA53F31" w:rsidR="0045652D" w:rsidRDefault="0045652D" w:rsidP="007B1FFB">
            <w:pPr>
              <w:rPr>
                <w:rFonts w:ascii="Times New Roman" w:hAnsi="Times New Roman" w:cs="Times New Roman"/>
              </w:rPr>
            </w:pPr>
            <w:r>
              <w:rPr>
                <w:rFonts w:ascii="Times New Roman" w:hAnsi="Times New Roman" w:cs="Times New Roman"/>
              </w:rPr>
              <w:t>22.11%</w:t>
            </w:r>
          </w:p>
        </w:tc>
      </w:tr>
      <w:tr w:rsidR="0045652D" w14:paraId="6E9D0BA0" w14:textId="77777777" w:rsidTr="0045652D">
        <w:tc>
          <w:tcPr>
            <w:tcW w:w="4675" w:type="dxa"/>
          </w:tcPr>
          <w:p w14:paraId="220AFD2D" w14:textId="7E221AE4" w:rsidR="0045652D" w:rsidRDefault="0045652D" w:rsidP="007B1FFB">
            <w:pPr>
              <w:rPr>
                <w:rFonts w:ascii="Times New Roman" w:hAnsi="Times New Roman" w:cs="Times New Roman"/>
              </w:rPr>
            </w:pPr>
            <w:r>
              <w:rPr>
                <w:rFonts w:ascii="Times New Roman" w:hAnsi="Times New Roman" w:cs="Times New Roman"/>
              </w:rPr>
              <w:t># of Vacant Housing Units</w:t>
            </w:r>
          </w:p>
        </w:tc>
        <w:tc>
          <w:tcPr>
            <w:tcW w:w="4675" w:type="dxa"/>
          </w:tcPr>
          <w:p w14:paraId="1A9F5C1A" w14:textId="2AFD9C24" w:rsidR="0045652D" w:rsidRDefault="0045652D" w:rsidP="007B1FFB">
            <w:pPr>
              <w:rPr>
                <w:rFonts w:ascii="Times New Roman" w:hAnsi="Times New Roman" w:cs="Times New Roman"/>
              </w:rPr>
            </w:pPr>
            <w:r>
              <w:rPr>
                <w:rFonts w:ascii="Times New Roman" w:hAnsi="Times New Roman" w:cs="Times New Roman"/>
              </w:rPr>
              <w:t>11,810</w:t>
            </w:r>
          </w:p>
        </w:tc>
      </w:tr>
      <w:tr w:rsidR="0045652D" w14:paraId="30CA2E4B" w14:textId="77777777" w:rsidTr="0045652D">
        <w:tc>
          <w:tcPr>
            <w:tcW w:w="4675" w:type="dxa"/>
          </w:tcPr>
          <w:p w14:paraId="19D3E7D6" w14:textId="0CD3A901" w:rsidR="0045652D" w:rsidRDefault="0045652D" w:rsidP="007B1FFB">
            <w:pPr>
              <w:rPr>
                <w:rFonts w:ascii="Times New Roman" w:hAnsi="Times New Roman" w:cs="Times New Roman"/>
              </w:rPr>
            </w:pPr>
            <w:r>
              <w:rPr>
                <w:rFonts w:ascii="Times New Roman" w:hAnsi="Times New Roman" w:cs="Times New Roman"/>
              </w:rPr>
              <w:t>% of Unemployed</w:t>
            </w:r>
          </w:p>
        </w:tc>
        <w:tc>
          <w:tcPr>
            <w:tcW w:w="4675" w:type="dxa"/>
          </w:tcPr>
          <w:p w14:paraId="7171AB6B" w14:textId="1C331200" w:rsidR="0045652D" w:rsidRDefault="0045652D" w:rsidP="007B1FFB">
            <w:pPr>
              <w:rPr>
                <w:rFonts w:ascii="Times New Roman" w:hAnsi="Times New Roman" w:cs="Times New Roman"/>
              </w:rPr>
            </w:pPr>
            <w:r>
              <w:rPr>
                <w:rFonts w:ascii="Times New Roman" w:hAnsi="Times New Roman" w:cs="Times New Roman"/>
              </w:rPr>
              <w:t>4.02%</w:t>
            </w:r>
          </w:p>
        </w:tc>
      </w:tr>
      <w:tr w:rsidR="0045652D" w14:paraId="1362B096" w14:textId="77777777" w:rsidTr="0045652D">
        <w:tc>
          <w:tcPr>
            <w:tcW w:w="4675" w:type="dxa"/>
          </w:tcPr>
          <w:p w14:paraId="575EC7FD" w14:textId="11296EA9" w:rsidR="0045652D" w:rsidRDefault="0045652D" w:rsidP="007B1FFB">
            <w:pPr>
              <w:rPr>
                <w:rFonts w:ascii="Times New Roman" w:hAnsi="Times New Roman" w:cs="Times New Roman"/>
              </w:rPr>
            </w:pPr>
            <w:r>
              <w:rPr>
                <w:rFonts w:ascii="Times New Roman" w:hAnsi="Times New Roman" w:cs="Times New Roman"/>
              </w:rPr>
              <w:t>% of Vacant Housing Units</w:t>
            </w:r>
          </w:p>
        </w:tc>
        <w:tc>
          <w:tcPr>
            <w:tcW w:w="4675" w:type="dxa"/>
          </w:tcPr>
          <w:p w14:paraId="6A2B1F75" w14:textId="7AE3B349" w:rsidR="0045652D" w:rsidRDefault="0045652D" w:rsidP="007B1FFB">
            <w:pPr>
              <w:rPr>
                <w:rFonts w:ascii="Times New Roman" w:hAnsi="Times New Roman" w:cs="Times New Roman"/>
              </w:rPr>
            </w:pPr>
            <w:r>
              <w:rPr>
                <w:rFonts w:ascii="Times New Roman" w:hAnsi="Times New Roman" w:cs="Times New Roman"/>
              </w:rPr>
              <w:t>15.02%</w:t>
            </w:r>
          </w:p>
        </w:tc>
      </w:tr>
      <w:tr w:rsidR="0045652D" w14:paraId="1E8634BC" w14:textId="77777777" w:rsidTr="0045652D">
        <w:tc>
          <w:tcPr>
            <w:tcW w:w="4675" w:type="dxa"/>
          </w:tcPr>
          <w:p w14:paraId="4C1D1F3E" w14:textId="4D528E8C" w:rsidR="0045652D" w:rsidRDefault="0045652D" w:rsidP="007B1FFB">
            <w:pPr>
              <w:rPr>
                <w:rFonts w:ascii="Times New Roman" w:hAnsi="Times New Roman" w:cs="Times New Roman"/>
              </w:rPr>
            </w:pPr>
            <w:r>
              <w:rPr>
                <w:rFonts w:ascii="Times New Roman" w:hAnsi="Times New Roman" w:cs="Times New Roman"/>
              </w:rPr>
              <w:t>Median Income</w:t>
            </w:r>
          </w:p>
        </w:tc>
        <w:tc>
          <w:tcPr>
            <w:tcW w:w="4675" w:type="dxa"/>
          </w:tcPr>
          <w:p w14:paraId="14446292" w14:textId="4F2A05EB" w:rsidR="0045652D" w:rsidRDefault="0045652D" w:rsidP="007B1FFB">
            <w:pPr>
              <w:rPr>
                <w:rFonts w:ascii="Times New Roman" w:hAnsi="Times New Roman" w:cs="Times New Roman"/>
              </w:rPr>
            </w:pPr>
            <w:r>
              <w:rPr>
                <w:rFonts w:ascii="Times New Roman" w:hAnsi="Times New Roman" w:cs="Times New Roman"/>
              </w:rPr>
              <w:t>$15,847</w:t>
            </w:r>
          </w:p>
        </w:tc>
      </w:tr>
      <w:tr w:rsidR="0045652D" w14:paraId="5BAD4502" w14:textId="77777777" w:rsidTr="0045652D">
        <w:tc>
          <w:tcPr>
            <w:tcW w:w="4675" w:type="dxa"/>
          </w:tcPr>
          <w:p w14:paraId="1DA1E4E5" w14:textId="38F3FB08" w:rsidR="0045652D" w:rsidRDefault="0045652D" w:rsidP="007B1FFB">
            <w:pPr>
              <w:rPr>
                <w:rFonts w:ascii="Times New Roman" w:hAnsi="Times New Roman" w:cs="Times New Roman"/>
              </w:rPr>
            </w:pPr>
            <w:r>
              <w:rPr>
                <w:rFonts w:ascii="Times New Roman" w:hAnsi="Times New Roman" w:cs="Times New Roman"/>
              </w:rPr>
              <w:t>Total Population</w:t>
            </w:r>
          </w:p>
        </w:tc>
        <w:tc>
          <w:tcPr>
            <w:tcW w:w="4675" w:type="dxa"/>
          </w:tcPr>
          <w:p w14:paraId="66D6DB70" w14:textId="2BEA25A6" w:rsidR="0045652D" w:rsidRDefault="0045652D" w:rsidP="007B1FFB">
            <w:pPr>
              <w:rPr>
                <w:rFonts w:ascii="Times New Roman" w:hAnsi="Times New Roman" w:cs="Times New Roman"/>
              </w:rPr>
            </w:pPr>
            <w:r>
              <w:rPr>
                <w:rFonts w:ascii="Times New Roman" w:hAnsi="Times New Roman" w:cs="Times New Roman"/>
              </w:rPr>
              <w:t>154,909</w:t>
            </w:r>
          </w:p>
        </w:tc>
      </w:tr>
    </w:tbl>
    <w:p w14:paraId="7A6D8AD4" w14:textId="77777777" w:rsidR="00DA6111" w:rsidRPr="00DA6111" w:rsidRDefault="00DA6111" w:rsidP="007B1FFB">
      <w:pPr>
        <w:rPr>
          <w:rFonts w:ascii="Times New Roman" w:hAnsi="Times New Roman" w:cs="Times New Roman"/>
        </w:rPr>
      </w:pPr>
    </w:p>
    <w:p w14:paraId="36E58994" w14:textId="77777777" w:rsidR="0048490B" w:rsidRDefault="0048490B">
      <w:pPr>
        <w:rPr>
          <w:rFonts w:ascii="Times New Roman" w:hAnsi="Times New Roman" w:cs="Times New Roman"/>
          <w:b/>
          <w:bCs/>
        </w:rPr>
      </w:pPr>
      <w:r>
        <w:rPr>
          <w:rFonts w:ascii="Times New Roman" w:hAnsi="Times New Roman" w:cs="Times New Roman"/>
          <w:b/>
          <w:bCs/>
        </w:rPr>
        <w:br w:type="page"/>
      </w:r>
    </w:p>
    <w:p w14:paraId="50BB3898" w14:textId="5A84E22C" w:rsidR="007B1FFB" w:rsidRPr="0048490B" w:rsidRDefault="007B1FFB" w:rsidP="008E45FA">
      <w:pPr>
        <w:rPr>
          <w:rFonts w:ascii="Times New Roman" w:hAnsi="Times New Roman" w:cs="Times New Roman"/>
          <w:b/>
          <w:bCs/>
        </w:rPr>
      </w:pPr>
      <w:r w:rsidRPr="008171AB">
        <w:rPr>
          <w:rFonts w:ascii="Times New Roman" w:hAnsi="Times New Roman" w:cs="Times New Roman"/>
        </w:rPr>
        <w:lastRenderedPageBreak/>
        <w:t>REFERENCES</w:t>
      </w:r>
    </w:p>
    <w:p w14:paraId="20B85107" w14:textId="5726C07D" w:rsidR="007B1FFB" w:rsidRPr="008171AB" w:rsidRDefault="007B1FFB" w:rsidP="0045652D">
      <w:pPr>
        <w:pStyle w:val="ListParagraph"/>
        <w:numPr>
          <w:ilvl w:val="0"/>
          <w:numId w:val="1"/>
        </w:numPr>
        <w:rPr>
          <w:rFonts w:ascii="Times New Roman" w:hAnsi="Times New Roman" w:cs="Times New Roman"/>
        </w:rPr>
      </w:pPr>
      <w:proofErr w:type="spellStart"/>
      <w:r w:rsidRPr="008171AB">
        <w:rPr>
          <w:rFonts w:ascii="Times New Roman" w:hAnsi="Times New Roman" w:cs="Times New Roman"/>
          <w:color w:val="222222"/>
          <w:shd w:val="clear" w:color="auto" w:fill="FFFFFF"/>
        </w:rPr>
        <w:t>P</w:t>
      </w:r>
      <w:r w:rsidRPr="008171AB">
        <w:rPr>
          <w:rFonts w:ascii="Times New Roman" w:hAnsi="Times New Roman" w:cs="Times New Roman"/>
        </w:rPr>
        <w:t>apanikolaou</w:t>
      </w:r>
      <w:proofErr w:type="spellEnd"/>
      <w:r w:rsidRPr="008171AB">
        <w:rPr>
          <w:rFonts w:ascii="Times New Roman" w:hAnsi="Times New Roman" w:cs="Times New Roman"/>
        </w:rPr>
        <w:t xml:space="preserve">, N. C., </w:t>
      </w:r>
      <w:proofErr w:type="spellStart"/>
      <w:r w:rsidRPr="008171AB">
        <w:rPr>
          <w:rFonts w:ascii="Times New Roman" w:hAnsi="Times New Roman" w:cs="Times New Roman"/>
        </w:rPr>
        <w:t>Hatzidaki</w:t>
      </w:r>
      <w:proofErr w:type="spellEnd"/>
      <w:r w:rsidRPr="008171AB">
        <w:rPr>
          <w:rFonts w:ascii="Times New Roman" w:hAnsi="Times New Roman" w:cs="Times New Roman"/>
        </w:rPr>
        <w:t xml:space="preserve">, E. G., </w:t>
      </w:r>
      <w:proofErr w:type="spellStart"/>
      <w:r w:rsidRPr="008171AB">
        <w:rPr>
          <w:rFonts w:ascii="Times New Roman" w:hAnsi="Times New Roman" w:cs="Times New Roman"/>
        </w:rPr>
        <w:t>Belivanis</w:t>
      </w:r>
      <w:proofErr w:type="spellEnd"/>
      <w:r w:rsidRPr="008171AB">
        <w:rPr>
          <w:rFonts w:ascii="Times New Roman" w:hAnsi="Times New Roman" w:cs="Times New Roman"/>
        </w:rPr>
        <w:t xml:space="preserve">, S., </w:t>
      </w:r>
      <w:proofErr w:type="spellStart"/>
      <w:r w:rsidRPr="008171AB">
        <w:rPr>
          <w:rFonts w:ascii="Times New Roman" w:hAnsi="Times New Roman" w:cs="Times New Roman"/>
        </w:rPr>
        <w:t>Tzanakakis</w:t>
      </w:r>
      <w:proofErr w:type="spellEnd"/>
      <w:r w:rsidRPr="008171AB">
        <w:rPr>
          <w:rFonts w:ascii="Times New Roman" w:hAnsi="Times New Roman" w:cs="Times New Roman"/>
        </w:rPr>
        <w:t xml:space="preserve">, G. N., &amp; </w:t>
      </w:r>
      <w:proofErr w:type="spellStart"/>
      <w:r w:rsidRPr="008171AB">
        <w:rPr>
          <w:rFonts w:ascii="Times New Roman" w:hAnsi="Times New Roman" w:cs="Times New Roman"/>
        </w:rPr>
        <w:t>Tsatsakis</w:t>
      </w:r>
      <w:proofErr w:type="spellEnd"/>
      <w:r w:rsidRPr="008171AB">
        <w:rPr>
          <w:rFonts w:ascii="Times New Roman" w:hAnsi="Times New Roman" w:cs="Times New Roman"/>
        </w:rPr>
        <w:t>, A. M.</w:t>
      </w:r>
      <w:r w:rsidR="0045652D" w:rsidRPr="008171AB">
        <w:rPr>
          <w:rFonts w:ascii="Times New Roman" w:hAnsi="Times New Roman" w:cs="Times New Roman"/>
        </w:rPr>
        <w:t xml:space="preserve"> </w:t>
      </w:r>
      <w:r w:rsidRPr="008171AB">
        <w:rPr>
          <w:rFonts w:ascii="Times New Roman" w:hAnsi="Times New Roman" w:cs="Times New Roman"/>
        </w:rPr>
        <w:t>(2005). Lead toxicity update. A brief review. </w:t>
      </w:r>
      <w:r w:rsidRPr="008171AB">
        <w:rPr>
          <w:rFonts w:ascii="Times New Roman" w:hAnsi="Times New Roman" w:cs="Times New Roman"/>
          <w:i/>
          <w:iCs/>
        </w:rPr>
        <w:t>Medical science monitor, 11</w:t>
      </w:r>
      <w:r w:rsidRPr="008171AB">
        <w:rPr>
          <w:rFonts w:ascii="Times New Roman" w:hAnsi="Times New Roman" w:cs="Times New Roman"/>
        </w:rPr>
        <w:t>(10), RA329</w:t>
      </w:r>
      <w:r w:rsidR="0045652D" w:rsidRPr="008171AB">
        <w:rPr>
          <w:rFonts w:ascii="Times New Roman" w:hAnsi="Times New Roman" w:cs="Times New Roman"/>
        </w:rPr>
        <w:t>-</w:t>
      </w:r>
      <w:r w:rsidRPr="008171AB">
        <w:rPr>
          <w:rFonts w:ascii="Times New Roman" w:hAnsi="Times New Roman" w:cs="Times New Roman"/>
        </w:rPr>
        <w:t>RA336.</w:t>
      </w:r>
    </w:p>
    <w:p w14:paraId="2F59E468" w14:textId="35655C1F" w:rsidR="007B1FFB" w:rsidRPr="008171AB" w:rsidRDefault="007B1FFB" w:rsidP="0045652D">
      <w:pPr>
        <w:pStyle w:val="ListParagraph"/>
        <w:numPr>
          <w:ilvl w:val="0"/>
          <w:numId w:val="1"/>
        </w:numPr>
        <w:rPr>
          <w:rFonts w:ascii="Times New Roman" w:hAnsi="Times New Roman" w:cs="Times New Roman"/>
        </w:rPr>
      </w:pPr>
      <w:proofErr w:type="spellStart"/>
      <w:r w:rsidRPr="008171AB">
        <w:rPr>
          <w:rFonts w:ascii="Times New Roman" w:hAnsi="Times New Roman" w:cs="Times New Roman"/>
        </w:rPr>
        <w:t>Goyer</w:t>
      </w:r>
      <w:proofErr w:type="spellEnd"/>
      <w:r w:rsidRPr="008171AB">
        <w:rPr>
          <w:rFonts w:ascii="Times New Roman" w:hAnsi="Times New Roman" w:cs="Times New Roman"/>
        </w:rPr>
        <w:t>, R. A. (1990). Lead toxicity: from overt to subclinical to subtle health</w:t>
      </w:r>
      <w:r w:rsidR="0045652D" w:rsidRPr="008171AB">
        <w:rPr>
          <w:rFonts w:ascii="Times New Roman" w:hAnsi="Times New Roman" w:cs="Times New Roman"/>
        </w:rPr>
        <w:t xml:space="preserve"> </w:t>
      </w:r>
      <w:r w:rsidRPr="008171AB">
        <w:rPr>
          <w:rFonts w:ascii="Times New Roman" w:hAnsi="Times New Roman" w:cs="Times New Roman"/>
        </w:rPr>
        <w:t>effects. </w:t>
      </w:r>
      <w:r w:rsidRPr="008171AB">
        <w:rPr>
          <w:rFonts w:ascii="Times New Roman" w:hAnsi="Times New Roman" w:cs="Times New Roman"/>
          <w:i/>
          <w:iCs/>
        </w:rPr>
        <w:t>Environmental Health Perspectives, 86</w:t>
      </w:r>
      <w:r w:rsidRPr="008171AB">
        <w:rPr>
          <w:rFonts w:ascii="Times New Roman" w:hAnsi="Times New Roman" w:cs="Times New Roman"/>
        </w:rPr>
        <w:t>, 177-181.</w:t>
      </w:r>
    </w:p>
    <w:p w14:paraId="29D4B9A7" w14:textId="6A1BBE11" w:rsidR="008E45FA" w:rsidRPr="008171AB" w:rsidRDefault="007B1FFB" w:rsidP="0045652D">
      <w:pPr>
        <w:pStyle w:val="ListParagraph"/>
        <w:numPr>
          <w:ilvl w:val="0"/>
          <w:numId w:val="1"/>
        </w:numPr>
        <w:rPr>
          <w:rFonts w:ascii="Times New Roman" w:hAnsi="Times New Roman" w:cs="Times New Roman"/>
        </w:rPr>
      </w:pPr>
      <w:r w:rsidRPr="008171AB">
        <w:rPr>
          <w:rFonts w:ascii="Times New Roman" w:hAnsi="Times New Roman" w:cs="Times New Roman"/>
        </w:rPr>
        <w:t>Seymour, F. K., &amp; Henry, J. A. (2001). Assessment and management of acute poisoning by</w:t>
      </w:r>
      <w:r w:rsidR="0045652D" w:rsidRPr="008171AB">
        <w:rPr>
          <w:rFonts w:ascii="Times New Roman" w:hAnsi="Times New Roman" w:cs="Times New Roman"/>
        </w:rPr>
        <w:t xml:space="preserve"> </w:t>
      </w:r>
      <w:r w:rsidRPr="008171AB">
        <w:rPr>
          <w:rFonts w:ascii="Times New Roman" w:hAnsi="Times New Roman" w:cs="Times New Roman"/>
        </w:rPr>
        <w:t>petroleum products. </w:t>
      </w:r>
      <w:r w:rsidRPr="008171AB">
        <w:rPr>
          <w:rFonts w:ascii="Times New Roman" w:hAnsi="Times New Roman" w:cs="Times New Roman"/>
          <w:i/>
          <w:iCs/>
        </w:rPr>
        <w:t>Human &amp; experimental toxicology, 20</w:t>
      </w:r>
      <w:r w:rsidRPr="008171AB">
        <w:rPr>
          <w:rFonts w:ascii="Times New Roman" w:hAnsi="Times New Roman" w:cs="Times New Roman"/>
        </w:rPr>
        <w:t>(11), 551-562.</w:t>
      </w:r>
    </w:p>
    <w:p w14:paraId="12E53B40" w14:textId="265689BF" w:rsidR="007B1FFB" w:rsidRPr="008171AB" w:rsidRDefault="007B1FFB" w:rsidP="0045652D">
      <w:pPr>
        <w:pStyle w:val="ListParagraph"/>
        <w:numPr>
          <w:ilvl w:val="0"/>
          <w:numId w:val="1"/>
        </w:numPr>
        <w:rPr>
          <w:rFonts w:ascii="Times New Roman" w:hAnsi="Times New Roman" w:cs="Times New Roman"/>
        </w:rPr>
      </w:pPr>
      <w:r w:rsidRPr="008171AB">
        <w:rPr>
          <w:rFonts w:ascii="Times New Roman" w:hAnsi="Times New Roman" w:cs="Times New Roman"/>
        </w:rPr>
        <w:t xml:space="preserve">Learn about asbestos. (n.d.). Retrieved from </w:t>
      </w:r>
      <w:hyperlink r:id="rId8" w:history="1">
        <w:r w:rsidRPr="008171AB">
          <w:rPr>
            <w:rStyle w:val="Hyperlink"/>
            <w:rFonts w:ascii="Times New Roman" w:hAnsi="Times New Roman" w:cs="Times New Roman"/>
          </w:rPr>
          <w:t>https://www.epa.gov/asbestos/learn-about-asbestos</w:t>
        </w:r>
      </w:hyperlink>
      <w:r w:rsidRPr="008171AB">
        <w:rPr>
          <w:rFonts w:ascii="Times New Roman" w:hAnsi="Times New Roman" w:cs="Times New Roman"/>
        </w:rPr>
        <w:t>.</w:t>
      </w:r>
      <w:r w:rsidR="00F72D29" w:rsidRPr="008171AB">
        <w:rPr>
          <w:rFonts w:ascii="Times New Roman" w:hAnsi="Times New Roman" w:cs="Times New Roman"/>
        </w:rPr>
        <w:t xml:space="preserve"> </w:t>
      </w:r>
    </w:p>
    <w:p w14:paraId="5E4BF0B4" w14:textId="1B93DA61" w:rsidR="0045652D" w:rsidRPr="008171AB" w:rsidRDefault="003F1C06" w:rsidP="0045652D">
      <w:pPr>
        <w:pStyle w:val="ListParagraph"/>
        <w:numPr>
          <w:ilvl w:val="0"/>
          <w:numId w:val="1"/>
        </w:numPr>
        <w:rPr>
          <w:rFonts w:ascii="Times New Roman" w:hAnsi="Times New Roman" w:cs="Times New Roman"/>
        </w:rPr>
      </w:pPr>
      <w:hyperlink r:id="rId9" w:history="1">
        <w:r w:rsidR="0045652D" w:rsidRPr="008171AB">
          <w:rPr>
            <w:rStyle w:val="Hyperlink"/>
            <w:rFonts w:ascii="Times New Roman" w:hAnsi="Times New Roman" w:cs="Times New Roman"/>
          </w:rPr>
          <w:t>https://obipublic.epa.gov/analytics/saw.dll?PortalPages&amp;Action=Navigate&amp;PortalPath=/shared/CIMC/_portal/CIMC&amp;Page=Profile+Page&amp;col1=ACRES_GRANT_EXPORT.PROPERTY_ID&amp;val1=%2215155%22</w:t>
        </w:r>
      </w:hyperlink>
    </w:p>
    <w:p w14:paraId="122D8DE3" w14:textId="6A83BB99" w:rsidR="0045652D" w:rsidRPr="008171AB" w:rsidRDefault="003F1C06" w:rsidP="00655EB7">
      <w:pPr>
        <w:pStyle w:val="ListParagraph"/>
        <w:numPr>
          <w:ilvl w:val="0"/>
          <w:numId w:val="1"/>
        </w:numPr>
        <w:rPr>
          <w:rFonts w:ascii="Times New Roman" w:hAnsi="Times New Roman" w:cs="Times New Roman"/>
        </w:rPr>
      </w:pPr>
      <w:hyperlink r:id="rId10" w:anchor="/media/File:Jefferson_Davis_Hospital_pre-renovation.jpg" w:history="1">
        <w:r w:rsidR="00655EB7" w:rsidRPr="008171AB">
          <w:rPr>
            <w:rStyle w:val="Hyperlink"/>
            <w:rFonts w:ascii="Times New Roman" w:hAnsi="Times New Roman" w:cs="Times New Roman"/>
          </w:rPr>
          <w:t>https://en.wikipedia.org/wiki/Jefferson_Davis_Hospital#/media/File:Jefferson_Davis_Hospital_pre-renovation.jpg</w:t>
        </w:r>
      </w:hyperlink>
    </w:p>
    <w:p w14:paraId="2306A15B" w14:textId="48190E64" w:rsidR="0045652D" w:rsidRPr="008171AB" w:rsidRDefault="003F1C06" w:rsidP="00EE57AD">
      <w:pPr>
        <w:pStyle w:val="ListParagraph"/>
        <w:numPr>
          <w:ilvl w:val="0"/>
          <w:numId w:val="1"/>
        </w:numPr>
        <w:rPr>
          <w:rFonts w:ascii="Times New Roman" w:hAnsi="Times New Roman" w:cs="Times New Roman"/>
        </w:rPr>
      </w:pPr>
      <w:hyperlink r:id="rId11" w:anchor="/media/File:Jefferson_Davis_Hospital_(HDR).jpg" w:history="1">
        <w:r w:rsidR="0045652D" w:rsidRPr="008171AB">
          <w:rPr>
            <w:rStyle w:val="Hyperlink"/>
            <w:rFonts w:ascii="Times New Roman" w:hAnsi="Times New Roman" w:cs="Times New Roman"/>
          </w:rPr>
          <w:t>https://en.wikipedia.org/wiki/Jefferson_Davis_Hospital#/media/File:Jefferson_Davis_Hospital_(HDR).jpg</w:t>
        </w:r>
      </w:hyperlink>
    </w:p>
    <w:p w14:paraId="5B8AEF76" w14:textId="77777777" w:rsidR="00960D76" w:rsidRDefault="003F1C06" w:rsidP="00960D76">
      <w:pPr>
        <w:pStyle w:val="ListParagraph"/>
        <w:numPr>
          <w:ilvl w:val="0"/>
          <w:numId w:val="1"/>
        </w:numPr>
        <w:rPr>
          <w:rFonts w:ascii="Times New Roman" w:hAnsi="Times New Roman" w:cs="Times New Roman"/>
        </w:rPr>
      </w:pPr>
      <w:hyperlink r:id="rId12" w:anchor="section-1-2" w:history="1">
        <w:r w:rsidR="0091348E" w:rsidRPr="008171AB">
          <w:rPr>
            <w:rStyle w:val="Hyperlink"/>
            <w:rFonts w:ascii="Times New Roman" w:hAnsi="Times New Roman" w:cs="Times New Roman"/>
          </w:rPr>
          <w:t>https://www.atsdr.cdc.gov/sites/brownfields/actionmodeltoolkit/what-is-the-action-model/#section-1-2</w:t>
        </w:r>
      </w:hyperlink>
    </w:p>
    <w:p w14:paraId="048D099F" w14:textId="357EC651" w:rsidR="00960D76" w:rsidRPr="00960D76" w:rsidRDefault="00960D76" w:rsidP="00960D76">
      <w:pPr>
        <w:pStyle w:val="ListParagraph"/>
        <w:numPr>
          <w:ilvl w:val="0"/>
          <w:numId w:val="1"/>
        </w:numPr>
        <w:rPr>
          <w:rFonts w:ascii="Times New Roman" w:hAnsi="Times New Roman" w:cs="Times New Roman"/>
        </w:rPr>
      </w:pPr>
      <w:r w:rsidRPr="00960D76">
        <w:rPr>
          <w:rFonts w:ascii="Times New Roman" w:hAnsi="Times New Roman" w:cs="Times New Roman"/>
        </w:rPr>
        <w:t xml:space="preserve">Berry, G., Gilson, J. C., Holmes, S., </w:t>
      </w:r>
      <w:proofErr w:type="spellStart"/>
      <w:r w:rsidRPr="00960D76">
        <w:rPr>
          <w:rFonts w:ascii="Times New Roman" w:hAnsi="Times New Roman" w:cs="Times New Roman"/>
        </w:rPr>
        <w:t>Lewinsohn</w:t>
      </w:r>
      <w:proofErr w:type="spellEnd"/>
      <w:r w:rsidRPr="00960D76">
        <w:rPr>
          <w:rFonts w:ascii="Times New Roman" w:hAnsi="Times New Roman" w:cs="Times New Roman"/>
        </w:rPr>
        <w:t>, H. C., &amp; Roach, S. A. (1979). Asbestosis: a study of dose-response relationships in an asbestos textile factory. </w:t>
      </w:r>
      <w:r w:rsidRPr="00960D76">
        <w:rPr>
          <w:rFonts w:ascii="Times New Roman" w:hAnsi="Times New Roman" w:cs="Times New Roman"/>
          <w:i/>
          <w:iCs/>
        </w:rPr>
        <w:t>Occupational and Environmental Medicine, 36</w:t>
      </w:r>
      <w:r w:rsidRPr="00960D76">
        <w:rPr>
          <w:rFonts w:ascii="Times New Roman" w:hAnsi="Times New Roman" w:cs="Times New Roman"/>
        </w:rPr>
        <w:t>(2), 98-112.</w:t>
      </w:r>
    </w:p>
    <w:p w14:paraId="71CC4EC1" w14:textId="3A2D12D0" w:rsidR="00F171DB" w:rsidRPr="00BF5F92" w:rsidRDefault="003F1C06" w:rsidP="00F171DB">
      <w:pPr>
        <w:pStyle w:val="ListParagraph"/>
        <w:numPr>
          <w:ilvl w:val="0"/>
          <w:numId w:val="1"/>
        </w:numPr>
        <w:rPr>
          <w:rStyle w:val="Hyperlink"/>
          <w:rFonts w:ascii="Times New Roman" w:hAnsi="Times New Roman" w:cs="Times New Roman"/>
          <w:color w:val="auto"/>
          <w:u w:val="none"/>
        </w:rPr>
      </w:pPr>
      <w:hyperlink r:id="rId13" w:history="1">
        <w:r w:rsidR="00F171DB" w:rsidRPr="005918F2">
          <w:rPr>
            <w:rStyle w:val="Hyperlink"/>
            <w:rFonts w:ascii="Times New Roman" w:hAnsi="Times New Roman" w:cs="Times New Roman"/>
          </w:rPr>
          <w:t>https://www.nytimes.com/2018/09/03/us/hurricane-harvey-houston.html</w:t>
        </w:r>
      </w:hyperlink>
    </w:p>
    <w:p w14:paraId="6E377B18" w14:textId="3B181EF9" w:rsidR="00BF5F92" w:rsidRPr="00BF5F92" w:rsidRDefault="00BF5F92" w:rsidP="00BF5F92">
      <w:pPr>
        <w:pStyle w:val="ListParagraph"/>
        <w:numPr>
          <w:ilvl w:val="0"/>
          <w:numId w:val="1"/>
        </w:numPr>
        <w:rPr>
          <w:rFonts w:ascii="Times New Roman" w:hAnsi="Times New Roman" w:cs="Times New Roman"/>
        </w:rPr>
      </w:pPr>
      <w:r w:rsidRPr="008171AB">
        <w:rPr>
          <w:rFonts w:ascii="Times New Roman" w:hAnsi="Times New Roman" w:cs="Times New Roman"/>
        </w:rPr>
        <w:t xml:space="preserve">Learn about </w:t>
      </w:r>
      <w:r>
        <w:rPr>
          <w:rFonts w:ascii="Times New Roman" w:hAnsi="Times New Roman" w:cs="Times New Roman"/>
        </w:rPr>
        <w:t>lead</w:t>
      </w:r>
      <w:r w:rsidRPr="008171AB">
        <w:rPr>
          <w:rFonts w:ascii="Times New Roman" w:hAnsi="Times New Roman" w:cs="Times New Roman"/>
        </w:rPr>
        <w:t xml:space="preserve">. (n.d.). Retrieved </w:t>
      </w:r>
      <w:r>
        <w:rPr>
          <w:rFonts w:ascii="Times New Roman" w:hAnsi="Times New Roman" w:cs="Times New Roman"/>
        </w:rPr>
        <w:t xml:space="preserve">from </w:t>
      </w:r>
      <w:hyperlink r:id="rId14" w:history="1">
        <w:r w:rsidRPr="00BF5F92">
          <w:rPr>
            <w:rStyle w:val="Hyperlink"/>
            <w:rFonts w:ascii="Times New Roman" w:hAnsi="Times New Roman" w:cs="Times New Roman"/>
          </w:rPr>
          <w:t>https://www.epa.gov/lead/learn-about-lead</w:t>
        </w:r>
      </w:hyperlink>
    </w:p>
    <w:sectPr w:rsidR="00BF5F92" w:rsidRPr="00BF5F92" w:rsidSect="000F7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97276F"/>
    <w:multiLevelType w:val="hybridMultilevel"/>
    <w:tmpl w:val="054CA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5FA"/>
    <w:rsid w:val="000F700A"/>
    <w:rsid w:val="001A646E"/>
    <w:rsid w:val="00211C77"/>
    <w:rsid w:val="00300584"/>
    <w:rsid w:val="003876B2"/>
    <w:rsid w:val="003D3ED3"/>
    <w:rsid w:val="003F1C06"/>
    <w:rsid w:val="0045652D"/>
    <w:rsid w:val="0048490B"/>
    <w:rsid w:val="00576F77"/>
    <w:rsid w:val="00655EB7"/>
    <w:rsid w:val="006D1F18"/>
    <w:rsid w:val="007B1FFB"/>
    <w:rsid w:val="00812780"/>
    <w:rsid w:val="008171AB"/>
    <w:rsid w:val="0086332D"/>
    <w:rsid w:val="00896B20"/>
    <w:rsid w:val="00897905"/>
    <w:rsid w:val="008A7F85"/>
    <w:rsid w:val="008E45FA"/>
    <w:rsid w:val="008F1EE4"/>
    <w:rsid w:val="0091348E"/>
    <w:rsid w:val="00960D76"/>
    <w:rsid w:val="00977C1F"/>
    <w:rsid w:val="009D0879"/>
    <w:rsid w:val="009D45EA"/>
    <w:rsid w:val="009E3E01"/>
    <w:rsid w:val="00B27923"/>
    <w:rsid w:val="00B45F86"/>
    <w:rsid w:val="00BC2E93"/>
    <w:rsid w:val="00BD16D8"/>
    <w:rsid w:val="00BF5F92"/>
    <w:rsid w:val="00DA6111"/>
    <w:rsid w:val="00DC33BD"/>
    <w:rsid w:val="00E46055"/>
    <w:rsid w:val="00EE57AD"/>
    <w:rsid w:val="00F171DB"/>
    <w:rsid w:val="00F72D29"/>
    <w:rsid w:val="00FD5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989FC9"/>
  <w15:chartTrackingRefBased/>
  <w15:docId w15:val="{202F43DD-4D5E-B245-BAA7-BF662F35D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FFB"/>
    <w:rPr>
      <w:color w:val="0563C1" w:themeColor="hyperlink"/>
      <w:u w:val="single"/>
    </w:rPr>
  </w:style>
  <w:style w:type="character" w:styleId="FollowedHyperlink">
    <w:name w:val="FollowedHyperlink"/>
    <w:basedOn w:val="DefaultParagraphFont"/>
    <w:uiPriority w:val="99"/>
    <w:semiHidden/>
    <w:unhideWhenUsed/>
    <w:rsid w:val="00EE57AD"/>
    <w:rPr>
      <w:color w:val="954F72" w:themeColor="followedHyperlink"/>
      <w:u w:val="single"/>
    </w:rPr>
  </w:style>
  <w:style w:type="table" w:styleId="TableGrid">
    <w:name w:val="Table Grid"/>
    <w:basedOn w:val="TableNormal"/>
    <w:uiPriority w:val="39"/>
    <w:rsid w:val="0045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5652D"/>
    <w:rPr>
      <w:color w:val="605E5C"/>
      <w:shd w:val="clear" w:color="auto" w:fill="E1DFDD"/>
    </w:rPr>
  </w:style>
  <w:style w:type="paragraph" w:styleId="ListParagraph">
    <w:name w:val="List Paragraph"/>
    <w:basedOn w:val="Normal"/>
    <w:uiPriority w:val="34"/>
    <w:qFormat/>
    <w:rsid w:val="0045652D"/>
    <w:pPr>
      <w:ind w:left="720"/>
      <w:contextualSpacing/>
    </w:pPr>
  </w:style>
  <w:style w:type="character" w:styleId="CommentReference">
    <w:name w:val="annotation reference"/>
    <w:basedOn w:val="DefaultParagraphFont"/>
    <w:uiPriority w:val="99"/>
    <w:semiHidden/>
    <w:unhideWhenUsed/>
    <w:rsid w:val="00812780"/>
    <w:rPr>
      <w:sz w:val="16"/>
      <w:szCs w:val="16"/>
    </w:rPr>
  </w:style>
  <w:style w:type="paragraph" w:styleId="CommentText">
    <w:name w:val="annotation text"/>
    <w:basedOn w:val="Normal"/>
    <w:link w:val="CommentTextChar"/>
    <w:uiPriority w:val="99"/>
    <w:unhideWhenUsed/>
    <w:rsid w:val="00812780"/>
    <w:rPr>
      <w:sz w:val="20"/>
      <w:szCs w:val="20"/>
    </w:rPr>
  </w:style>
  <w:style w:type="character" w:customStyle="1" w:styleId="CommentTextChar">
    <w:name w:val="Comment Text Char"/>
    <w:basedOn w:val="DefaultParagraphFont"/>
    <w:link w:val="CommentText"/>
    <w:uiPriority w:val="99"/>
    <w:rsid w:val="00812780"/>
    <w:rPr>
      <w:sz w:val="20"/>
      <w:szCs w:val="20"/>
    </w:rPr>
  </w:style>
  <w:style w:type="paragraph" w:styleId="CommentSubject">
    <w:name w:val="annotation subject"/>
    <w:basedOn w:val="CommentText"/>
    <w:next w:val="CommentText"/>
    <w:link w:val="CommentSubjectChar"/>
    <w:uiPriority w:val="99"/>
    <w:semiHidden/>
    <w:unhideWhenUsed/>
    <w:rsid w:val="00812780"/>
    <w:rPr>
      <w:b/>
      <w:bCs/>
    </w:rPr>
  </w:style>
  <w:style w:type="character" w:customStyle="1" w:styleId="CommentSubjectChar">
    <w:name w:val="Comment Subject Char"/>
    <w:basedOn w:val="CommentTextChar"/>
    <w:link w:val="CommentSubject"/>
    <w:uiPriority w:val="99"/>
    <w:semiHidden/>
    <w:rsid w:val="00812780"/>
    <w:rPr>
      <w:b/>
      <w:bCs/>
      <w:sz w:val="20"/>
      <w:szCs w:val="20"/>
    </w:rPr>
  </w:style>
  <w:style w:type="paragraph" w:styleId="BalloonText">
    <w:name w:val="Balloon Text"/>
    <w:basedOn w:val="Normal"/>
    <w:link w:val="BalloonTextChar"/>
    <w:uiPriority w:val="99"/>
    <w:semiHidden/>
    <w:unhideWhenUsed/>
    <w:rsid w:val="008127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278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3811">
      <w:bodyDiv w:val="1"/>
      <w:marLeft w:val="0"/>
      <w:marRight w:val="0"/>
      <w:marTop w:val="0"/>
      <w:marBottom w:val="0"/>
      <w:divBdr>
        <w:top w:val="none" w:sz="0" w:space="0" w:color="auto"/>
        <w:left w:val="none" w:sz="0" w:space="0" w:color="auto"/>
        <w:bottom w:val="none" w:sz="0" w:space="0" w:color="auto"/>
        <w:right w:val="none" w:sz="0" w:space="0" w:color="auto"/>
      </w:divBdr>
    </w:div>
    <w:div w:id="421609554">
      <w:bodyDiv w:val="1"/>
      <w:marLeft w:val="0"/>
      <w:marRight w:val="0"/>
      <w:marTop w:val="0"/>
      <w:marBottom w:val="0"/>
      <w:divBdr>
        <w:top w:val="none" w:sz="0" w:space="0" w:color="auto"/>
        <w:left w:val="none" w:sz="0" w:space="0" w:color="auto"/>
        <w:bottom w:val="none" w:sz="0" w:space="0" w:color="auto"/>
        <w:right w:val="none" w:sz="0" w:space="0" w:color="auto"/>
      </w:divBdr>
    </w:div>
    <w:div w:id="430978842">
      <w:bodyDiv w:val="1"/>
      <w:marLeft w:val="0"/>
      <w:marRight w:val="0"/>
      <w:marTop w:val="0"/>
      <w:marBottom w:val="0"/>
      <w:divBdr>
        <w:top w:val="none" w:sz="0" w:space="0" w:color="auto"/>
        <w:left w:val="none" w:sz="0" w:space="0" w:color="auto"/>
        <w:bottom w:val="none" w:sz="0" w:space="0" w:color="auto"/>
        <w:right w:val="none" w:sz="0" w:space="0" w:color="auto"/>
      </w:divBdr>
    </w:div>
    <w:div w:id="493296767">
      <w:bodyDiv w:val="1"/>
      <w:marLeft w:val="0"/>
      <w:marRight w:val="0"/>
      <w:marTop w:val="0"/>
      <w:marBottom w:val="0"/>
      <w:divBdr>
        <w:top w:val="none" w:sz="0" w:space="0" w:color="auto"/>
        <w:left w:val="none" w:sz="0" w:space="0" w:color="auto"/>
        <w:bottom w:val="none" w:sz="0" w:space="0" w:color="auto"/>
        <w:right w:val="none" w:sz="0" w:space="0" w:color="auto"/>
      </w:divBdr>
    </w:div>
    <w:div w:id="841507827">
      <w:bodyDiv w:val="1"/>
      <w:marLeft w:val="0"/>
      <w:marRight w:val="0"/>
      <w:marTop w:val="0"/>
      <w:marBottom w:val="0"/>
      <w:divBdr>
        <w:top w:val="none" w:sz="0" w:space="0" w:color="auto"/>
        <w:left w:val="none" w:sz="0" w:space="0" w:color="auto"/>
        <w:bottom w:val="none" w:sz="0" w:space="0" w:color="auto"/>
        <w:right w:val="none" w:sz="0" w:space="0" w:color="auto"/>
      </w:divBdr>
    </w:div>
    <w:div w:id="134088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asbestos/learn-about-asbestos" TargetMode="External"/><Relationship Id="rId13" Type="http://schemas.openxmlformats.org/officeDocument/2006/relationships/hyperlink" Target="https://www.nytimes.com/2018/09/03/us/hurricane-harvey-houston.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atsdr.cdc.gov/sites/brownfields/actionmodeltoolkit/what-is-the-action-mod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en.wikipedia.org/wiki/Jefferson_Davis_Hospital" TargetMode="External"/><Relationship Id="rId5" Type="http://schemas.openxmlformats.org/officeDocument/2006/relationships/hyperlink" Target="https://obipublic.epa.gov/analytics/saw.dll?PortalPages&amp;Action=Navigate&amp;PortalPath=/shared/CIMC/_portal/CIMC&amp;Page=Profile+Page&amp;col1=ACRES_GRANT_EXPORT.PROPERTY_ID&amp;val1=%2215155%22" TargetMode="External"/><Relationship Id="rId15" Type="http://schemas.openxmlformats.org/officeDocument/2006/relationships/fontTable" Target="fontTable.xml"/><Relationship Id="rId10" Type="http://schemas.openxmlformats.org/officeDocument/2006/relationships/hyperlink" Target="https://en.wikipedia.org/wiki/Jefferson_Davis_Hospital" TargetMode="External"/><Relationship Id="rId4" Type="http://schemas.openxmlformats.org/officeDocument/2006/relationships/webSettings" Target="webSettings.xml"/><Relationship Id="rId9" Type="http://schemas.openxmlformats.org/officeDocument/2006/relationships/hyperlink" Target="https://obipublic.epa.gov/analytics/saw.dll?PortalPages&amp;Action=Navigate&amp;PortalPath=/shared/CIMC/_portal/CIMC&amp;Page=Profile+Page&amp;col1=ACRES_GRANT_EXPORT.PROPERTY_ID&amp;val1=%2215155%22" TargetMode="External"/><Relationship Id="rId14" Type="http://schemas.openxmlformats.org/officeDocument/2006/relationships/hyperlink" Target="https://www.epa.gov/lead/learn-about-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Barclay</dc:creator>
  <cp:keywords/>
  <dc:description/>
  <cp:lastModifiedBy>Nicole Barclay</cp:lastModifiedBy>
  <cp:revision>27</cp:revision>
  <dcterms:created xsi:type="dcterms:W3CDTF">2019-11-05T17:04:00Z</dcterms:created>
  <dcterms:modified xsi:type="dcterms:W3CDTF">2019-12-05T04:36:00Z</dcterms:modified>
</cp:coreProperties>
</file>